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B8FC1" w14:textId="77777777" w:rsidR="00CC0E5E" w:rsidRPr="00CC0E5E" w:rsidRDefault="00D83AD2" w:rsidP="00CC0E5E">
      <w:pPr>
        <w:numPr>
          <w:ilvl w:val="0"/>
          <w:numId w:val="1"/>
        </w:numPr>
        <w:pBdr>
          <w:top w:val="single" w:sz="6" w:space="0" w:color="E027CD"/>
          <w:left w:val="single" w:sz="6" w:space="0" w:color="E027CD"/>
          <w:bottom w:val="single" w:sz="6" w:space="0" w:color="E027CD"/>
          <w:right w:val="single" w:sz="6" w:space="0" w:color="E027CD"/>
        </w:pBdr>
        <w:shd w:val="clear" w:color="auto" w:fill="FFFFFF"/>
        <w:spacing w:before="100" w:beforeAutospacing="1" w:after="100" w:afterAutospacing="1" w:line="240" w:lineRule="auto"/>
        <w:ind w:left="0"/>
        <w:textAlignment w:val="center"/>
        <w:rPr>
          <w:rFonts w:ascii="PT Sans" w:eastAsia="Times New Roman" w:hAnsi="PT Sans" w:cs="Helvetica"/>
          <w:vanish/>
          <w:color w:val="101010"/>
          <w:sz w:val="21"/>
          <w:szCs w:val="21"/>
          <w:lang w:eastAsia="en-GB"/>
        </w:rPr>
      </w:pPr>
      <w:r>
        <w:rPr>
          <w:rFonts w:ascii="PT Sans" w:eastAsia="Times New Roman" w:hAnsi="PT Sans" w:cs="Helvetica"/>
          <w:vanish/>
          <w:color w:val="B201B3"/>
          <w:sz w:val="21"/>
          <w:szCs w:val="21"/>
          <w:lang w:eastAsia="en-GB"/>
        </w:rPr>
        <w:fldChar w:fldCharType="begin"/>
      </w:r>
      <w:r>
        <w:rPr>
          <w:rFonts w:ascii="PT Sans" w:eastAsia="Times New Roman" w:hAnsi="PT Sans" w:cs="Helvetica"/>
          <w:vanish/>
          <w:color w:val="B201B3"/>
          <w:sz w:val="21"/>
          <w:szCs w:val="21"/>
          <w:lang w:eastAsia="en-GB"/>
        </w:rPr>
        <w:instrText xml:space="preserve"> HYPERLINK "https://www.thepurpleguide.co.uk/index.php/the-purple-guide/96-10-fire-safety?tmpl=component&amp;print=1&amp;layout=default" \o "Print article &lt; 10. Fire Safety &gt;" </w:instrText>
      </w:r>
      <w:r>
        <w:rPr>
          <w:rFonts w:ascii="PT Sans" w:eastAsia="Times New Roman" w:hAnsi="PT Sans" w:cs="Helvetica"/>
          <w:vanish/>
          <w:color w:val="B201B3"/>
          <w:sz w:val="21"/>
          <w:szCs w:val="21"/>
          <w:lang w:eastAsia="en-GB"/>
        </w:rPr>
        <w:fldChar w:fldCharType="separate"/>
      </w:r>
      <w:r w:rsidR="00CC0E5E" w:rsidRPr="00CC0E5E">
        <w:rPr>
          <w:rFonts w:ascii="PT Sans" w:eastAsia="Times New Roman" w:hAnsi="PT Sans" w:cs="Helvetica"/>
          <w:vanish/>
          <w:color w:val="B201B3"/>
          <w:sz w:val="21"/>
          <w:szCs w:val="21"/>
          <w:lang w:eastAsia="en-GB"/>
        </w:rPr>
        <w:t xml:space="preserve">Print </w:t>
      </w:r>
      <w:r>
        <w:rPr>
          <w:rFonts w:ascii="PT Sans" w:eastAsia="Times New Roman" w:hAnsi="PT Sans" w:cs="Helvetica"/>
          <w:vanish/>
          <w:color w:val="B201B3"/>
          <w:sz w:val="21"/>
          <w:szCs w:val="21"/>
          <w:lang w:eastAsia="en-GB"/>
        </w:rPr>
        <w:fldChar w:fldCharType="end"/>
      </w:r>
    </w:p>
    <w:p w14:paraId="5B769B34" w14:textId="77777777" w:rsidR="00CC0E5E" w:rsidRPr="00CC0E5E" w:rsidRDefault="00D83EC7" w:rsidP="00CC0E5E">
      <w:pPr>
        <w:numPr>
          <w:ilvl w:val="0"/>
          <w:numId w:val="1"/>
        </w:numPr>
        <w:pBdr>
          <w:top w:val="single" w:sz="6" w:space="0" w:color="E027CD"/>
          <w:left w:val="single" w:sz="6" w:space="0" w:color="E027CD"/>
          <w:bottom w:val="single" w:sz="6" w:space="0" w:color="E027CD"/>
          <w:right w:val="single" w:sz="6" w:space="0" w:color="E027CD"/>
        </w:pBdr>
        <w:shd w:val="clear" w:color="auto" w:fill="FFFFFF"/>
        <w:spacing w:before="100" w:beforeAutospacing="1" w:after="100" w:afterAutospacing="1" w:line="240" w:lineRule="auto"/>
        <w:ind w:left="0"/>
        <w:textAlignment w:val="center"/>
        <w:rPr>
          <w:rFonts w:ascii="PT Sans" w:eastAsia="Times New Roman" w:hAnsi="PT Sans" w:cs="Helvetica"/>
          <w:vanish/>
          <w:color w:val="101010"/>
          <w:sz w:val="21"/>
          <w:szCs w:val="21"/>
          <w:lang w:eastAsia="en-GB"/>
        </w:rPr>
      </w:pPr>
      <w:hyperlink r:id="rId7" w:tooltip="Email this link to a friend" w:history="1">
        <w:r w:rsidR="00CC0E5E" w:rsidRPr="00CC0E5E">
          <w:rPr>
            <w:rFonts w:ascii="PT Sans" w:eastAsia="Times New Roman" w:hAnsi="PT Sans" w:cs="Helvetica"/>
            <w:vanish/>
            <w:color w:val="B201B3"/>
            <w:sz w:val="21"/>
            <w:szCs w:val="21"/>
            <w:lang w:eastAsia="en-GB"/>
          </w:rPr>
          <w:t xml:space="preserve">Email </w:t>
        </w:r>
      </w:hyperlink>
    </w:p>
    <w:p w14:paraId="249F8DE9" w14:textId="4C83EE2F" w:rsidR="00373D44" w:rsidRPr="008E2ADB" w:rsidRDefault="00373D44" w:rsidP="00373D44">
      <w:pPr>
        <w:spacing w:before="360" w:after="180" w:line="240" w:lineRule="auto"/>
        <w:jc w:val="center"/>
        <w:outlineLvl w:val="3"/>
        <w:rPr>
          <w:rFonts w:eastAsia="Times New Roman" w:cstheme="minorHAnsi"/>
          <w:b/>
          <w:bCs/>
          <w:color w:val="101010"/>
          <w:sz w:val="28"/>
          <w:szCs w:val="28"/>
          <w:lang w:eastAsia="en-GB"/>
        </w:rPr>
      </w:pPr>
      <w:r w:rsidRPr="008E2ADB">
        <w:rPr>
          <w:rFonts w:eastAsia="Times New Roman" w:cstheme="minorHAnsi"/>
          <w:b/>
          <w:bCs/>
          <w:color w:val="101010"/>
          <w:sz w:val="28"/>
          <w:szCs w:val="28"/>
          <w:lang w:eastAsia="en-GB"/>
        </w:rPr>
        <w:t>City of Wolverhampton Council</w:t>
      </w:r>
    </w:p>
    <w:p w14:paraId="65627AA6" w14:textId="2B92DCCD" w:rsidR="00F2182A" w:rsidRDefault="004863B9" w:rsidP="00373D44">
      <w:pPr>
        <w:spacing w:before="360" w:after="180" w:line="240" w:lineRule="auto"/>
        <w:jc w:val="center"/>
        <w:outlineLvl w:val="3"/>
        <w:rPr>
          <w:rFonts w:eastAsia="Times New Roman" w:cstheme="minorHAnsi"/>
          <w:b/>
          <w:bCs/>
          <w:color w:val="101010"/>
          <w:sz w:val="28"/>
          <w:szCs w:val="28"/>
          <w:lang w:eastAsia="en-GB"/>
        </w:rPr>
      </w:pPr>
      <w:r w:rsidRPr="008E2ADB">
        <w:rPr>
          <w:rFonts w:eastAsia="Times New Roman" w:cstheme="minorHAnsi"/>
          <w:b/>
          <w:bCs/>
          <w:color w:val="101010"/>
          <w:sz w:val="28"/>
          <w:szCs w:val="28"/>
          <w:lang w:eastAsia="en-GB"/>
        </w:rPr>
        <w:t xml:space="preserve">Fire Risk </w:t>
      </w:r>
      <w:r w:rsidR="00373D44" w:rsidRPr="008E2ADB">
        <w:rPr>
          <w:rFonts w:eastAsia="Times New Roman" w:cstheme="minorHAnsi"/>
          <w:b/>
          <w:bCs/>
          <w:color w:val="101010"/>
          <w:sz w:val="28"/>
          <w:szCs w:val="28"/>
          <w:lang w:eastAsia="en-GB"/>
        </w:rPr>
        <w:t>Assessment</w:t>
      </w:r>
      <w:r w:rsidRPr="008E2ADB">
        <w:rPr>
          <w:rFonts w:eastAsia="Times New Roman" w:cstheme="minorHAnsi"/>
          <w:b/>
          <w:bCs/>
          <w:color w:val="101010"/>
          <w:sz w:val="28"/>
          <w:szCs w:val="28"/>
          <w:lang w:eastAsia="en-GB"/>
        </w:rPr>
        <w:t xml:space="preserve"> Guidance for Public Events</w:t>
      </w:r>
    </w:p>
    <w:p w14:paraId="11E4F4D8" w14:textId="7AA9274D" w:rsidR="005F1B36" w:rsidRDefault="00E523AC" w:rsidP="00E26C91">
      <w:pPr>
        <w:spacing w:before="360" w:after="180" w:line="240" w:lineRule="auto"/>
        <w:jc w:val="both"/>
        <w:outlineLvl w:val="3"/>
        <w:rPr>
          <w:rFonts w:eastAsia="Times New Roman" w:cstheme="minorHAnsi"/>
          <w:bCs/>
          <w:color w:val="101010"/>
          <w:sz w:val="24"/>
          <w:szCs w:val="24"/>
          <w:lang w:eastAsia="en-GB"/>
        </w:rPr>
      </w:pPr>
      <w:r w:rsidRPr="00E523AC">
        <w:rPr>
          <w:rFonts w:eastAsia="Times New Roman" w:cstheme="minorHAnsi"/>
          <w:bCs/>
          <w:color w:val="101010"/>
          <w:sz w:val="24"/>
          <w:szCs w:val="24"/>
          <w:lang w:eastAsia="en-GB"/>
        </w:rPr>
        <w:t>This information is intended to give support</w:t>
      </w:r>
      <w:r>
        <w:rPr>
          <w:rFonts w:eastAsia="Times New Roman" w:cstheme="minorHAnsi"/>
          <w:bCs/>
          <w:color w:val="101010"/>
          <w:sz w:val="24"/>
          <w:szCs w:val="24"/>
          <w:lang w:eastAsia="en-GB"/>
        </w:rPr>
        <w:t xml:space="preserve"> </w:t>
      </w:r>
      <w:r w:rsidR="005844A2">
        <w:rPr>
          <w:rFonts w:eastAsia="Times New Roman" w:cstheme="minorHAnsi"/>
          <w:bCs/>
          <w:color w:val="101010"/>
          <w:sz w:val="24"/>
          <w:szCs w:val="24"/>
          <w:lang w:eastAsia="en-GB"/>
        </w:rPr>
        <w:t xml:space="preserve">and guidance to event organisers on the </w:t>
      </w:r>
      <w:r w:rsidR="0084625F">
        <w:rPr>
          <w:rFonts w:eastAsia="Times New Roman" w:cstheme="minorHAnsi"/>
          <w:bCs/>
          <w:color w:val="101010"/>
          <w:sz w:val="24"/>
          <w:szCs w:val="24"/>
          <w:lang w:eastAsia="en-GB"/>
        </w:rPr>
        <w:t>requirements</w:t>
      </w:r>
      <w:r w:rsidR="005844A2">
        <w:rPr>
          <w:rFonts w:eastAsia="Times New Roman" w:cstheme="minorHAnsi"/>
          <w:bCs/>
          <w:color w:val="101010"/>
          <w:sz w:val="24"/>
          <w:szCs w:val="24"/>
          <w:lang w:eastAsia="en-GB"/>
        </w:rPr>
        <w:t xml:space="preserve"> for carrying our fire risk </w:t>
      </w:r>
      <w:r w:rsidR="0084625F">
        <w:rPr>
          <w:rFonts w:eastAsia="Times New Roman" w:cstheme="minorHAnsi"/>
          <w:bCs/>
          <w:color w:val="101010"/>
          <w:sz w:val="24"/>
          <w:szCs w:val="24"/>
          <w:lang w:eastAsia="en-GB"/>
        </w:rPr>
        <w:t>assessments</w:t>
      </w:r>
      <w:r w:rsidR="005844A2">
        <w:rPr>
          <w:rFonts w:eastAsia="Times New Roman" w:cstheme="minorHAnsi"/>
          <w:bCs/>
          <w:color w:val="101010"/>
          <w:sz w:val="24"/>
          <w:szCs w:val="24"/>
          <w:lang w:eastAsia="en-GB"/>
        </w:rPr>
        <w:t xml:space="preserve">.  It is not intended to replace the </w:t>
      </w:r>
      <w:r w:rsidR="005C7EC1">
        <w:rPr>
          <w:rFonts w:eastAsia="Times New Roman" w:cstheme="minorHAnsi"/>
          <w:bCs/>
          <w:color w:val="101010"/>
          <w:sz w:val="24"/>
          <w:szCs w:val="24"/>
          <w:lang w:eastAsia="en-GB"/>
        </w:rPr>
        <w:t xml:space="preserve">engagement of a competent fire safety advisor.  </w:t>
      </w:r>
    </w:p>
    <w:p w14:paraId="46347498" w14:textId="4C0562F3" w:rsidR="004E0B05" w:rsidRDefault="004E0B05" w:rsidP="00E26C91">
      <w:pPr>
        <w:spacing w:before="360" w:after="180" w:line="240" w:lineRule="auto"/>
        <w:jc w:val="both"/>
        <w:outlineLvl w:val="3"/>
        <w:rPr>
          <w:rFonts w:eastAsia="Times New Roman" w:cstheme="minorHAnsi"/>
          <w:bCs/>
          <w:color w:val="101010"/>
          <w:sz w:val="24"/>
          <w:szCs w:val="24"/>
          <w:lang w:eastAsia="en-GB"/>
        </w:rPr>
      </w:pPr>
      <w:r>
        <w:rPr>
          <w:rFonts w:eastAsia="Times New Roman" w:cstheme="minorHAnsi"/>
          <w:bCs/>
          <w:color w:val="101010"/>
          <w:sz w:val="24"/>
          <w:szCs w:val="24"/>
          <w:lang w:eastAsia="en-GB"/>
        </w:rPr>
        <w:t xml:space="preserve">For the simple and more straightforward events your fire risk assessment may be a part of the event </w:t>
      </w:r>
      <w:r w:rsidR="008D6419">
        <w:rPr>
          <w:rFonts w:eastAsia="Times New Roman" w:cstheme="minorHAnsi"/>
          <w:bCs/>
          <w:color w:val="101010"/>
          <w:sz w:val="24"/>
          <w:szCs w:val="24"/>
          <w:lang w:eastAsia="en-GB"/>
        </w:rPr>
        <w:t xml:space="preserve">risk assessment, rather than a stand alone document.  For events where there are varied and </w:t>
      </w:r>
      <w:r w:rsidR="0084625F">
        <w:rPr>
          <w:rFonts w:eastAsia="Times New Roman" w:cstheme="minorHAnsi"/>
          <w:bCs/>
          <w:color w:val="101010"/>
          <w:sz w:val="24"/>
          <w:szCs w:val="24"/>
          <w:lang w:eastAsia="en-GB"/>
        </w:rPr>
        <w:t>numerous hazards, or large numbers of attendees a more detailed assessment may be warranted.</w:t>
      </w:r>
    </w:p>
    <w:p w14:paraId="67A8F7CF" w14:textId="33EE5967" w:rsidR="00A972E9" w:rsidRPr="00E523AC" w:rsidRDefault="00A972E9" w:rsidP="00E26C91">
      <w:pPr>
        <w:spacing w:before="360" w:after="180" w:line="240" w:lineRule="auto"/>
        <w:jc w:val="both"/>
        <w:outlineLvl w:val="3"/>
        <w:rPr>
          <w:rFonts w:eastAsia="Times New Roman" w:cstheme="minorHAnsi"/>
          <w:bCs/>
          <w:color w:val="101010"/>
          <w:sz w:val="24"/>
          <w:szCs w:val="24"/>
          <w:lang w:eastAsia="en-GB"/>
        </w:rPr>
      </w:pPr>
      <w:r>
        <w:rPr>
          <w:rFonts w:eastAsia="Times New Roman" w:cstheme="minorHAnsi"/>
          <w:bCs/>
          <w:color w:val="101010"/>
          <w:sz w:val="24"/>
          <w:szCs w:val="24"/>
          <w:lang w:eastAsia="en-GB"/>
        </w:rPr>
        <w:t xml:space="preserve">Following this guidance, and/or using the example template does not mean that you automatically </w:t>
      </w:r>
      <w:r w:rsidR="00D83EC7">
        <w:rPr>
          <w:rFonts w:eastAsia="Times New Roman" w:cstheme="minorHAnsi"/>
          <w:bCs/>
          <w:color w:val="101010"/>
          <w:sz w:val="24"/>
          <w:szCs w:val="24"/>
          <w:lang w:eastAsia="en-GB"/>
        </w:rPr>
        <w:t>comply with legislative requirements.  It is the event organisers responsibility to ensure they obtain competent safety advice prior to submitting any assessments or information, and keep it under review in the light of changing circumstances.</w:t>
      </w:r>
    </w:p>
    <w:p w14:paraId="24717AF4" w14:textId="5AE94BC5" w:rsidR="00CC0E5E" w:rsidRPr="008E2ADB" w:rsidRDefault="00CC0E5E" w:rsidP="00CC0E5E">
      <w:pPr>
        <w:spacing w:before="360" w:after="180" w:line="240" w:lineRule="auto"/>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KEY POINTS:</w:t>
      </w:r>
      <w:bookmarkStart w:id="0" w:name="_GoBack"/>
      <w:bookmarkEnd w:id="0"/>
    </w:p>
    <w:p w14:paraId="30869824" w14:textId="77777777" w:rsidR="00CC0E5E" w:rsidRPr="008E2ADB" w:rsidRDefault="00CC0E5E" w:rsidP="00CC0E5E">
      <w:pPr>
        <w:numPr>
          <w:ilvl w:val="0"/>
          <w:numId w:val="3"/>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Fire legislation requires a risk-management process that focuses on places and buildings</w:t>
      </w:r>
    </w:p>
    <w:p w14:paraId="36876B14" w14:textId="77777777" w:rsidR="00CC0E5E" w:rsidRPr="008E2ADB" w:rsidRDefault="00CC0E5E" w:rsidP="00CC0E5E">
      <w:pPr>
        <w:numPr>
          <w:ilvl w:val="0"/>
          <w:numId w:val="3"/>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Carry out a fire-safety risk assessment, or engage the services of a competent person to do so</w:t>
      </w:r>
    </w:p>
    <w:p w14:paraId="0423BB7B" w14:textId="77777777" w:rsidR="00CC0E5E" w:rsidRPr="008E2ADB" w:rsidRDefault="00CC0E5E" w:rsidP="00CC0E5E">
      <w:pPr>
        <w:numPr>
          <w:ilvl w:val="0"/>
          <w:numId w:val="3"/>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Consult and liaise with the local fire and rescue authority at the planning stage, and thereafter as required</w:t>
      </w:r>
    </w:p>
    <w:p w14:paraId="69DC0FA9" w14:textId="77777777" w:rsidR="00CC0E5E" w:rsidRPr="008E2ADB" w:rsidRDefault="00CC0E5E" w:rsidP="00CC0E5E">
      <w:pPr>
        <w:numPr>
          <w:ilvl w:val="0"/>
          <w:numId w:val="3"/>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Draw up a fire-management plan</w:t>
      </w:r>
    </w:p>
    <w:p w14:paraId="3A51A627" w14:textId="77777777" w:rsidR="00CC0E5E" w:rsidRPr="008E2ADB" w:rsidRDefault="00CC0E5E" w:rsidP="00CC0E5E">
      <w:pPr>
        <w:numPr>
          <w:ilvl w:val="0"/>
          <w:numId w:val="3"/>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Identify potential ignition and fuel sources</w:t>
      </w:r>
    </w:p>
    <w:p w14:paraId="69600540" w14:textId="77777777" w:rsidR="00CC0E5E" w:rsidRPr="008E2ADB" w:rsidRDefault="00CC0E5E" w:rsidP="00CC0E5E">
      <w:pPr>
        <w:numPr>
          <w:ilvl w:val="0"/>
          <w:numId w:val="3"/>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Establish the control measures</w:t>
      </w:r>
    </w:p>
    <w:p w14:paraId="23B65559" w14:textId="77777777" w:rsidR="00CC0E5E" w:rsidRPr="008E2ADB" w:rsidRDefault="00CC0E5E" w:rsidP="00CC0E5E">
      <w:pPr>
        <w:numPr>
          <w:ilvl w:val="0"/>
          <w:numId w:val="3"/>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Have an evacuation plan in place</w:t>
      </w:r>
    </w:p>
    <w:p w14:paraId="24F4FCCB" w14:textId="77777777" w:rsidR="00CC0E5E" w:rsidRPr="008E2ADB" w:rsidRDefault="00CC0E5E" w:rsidP="00CC0E5E">
      <w:pPr>
        <w:numPr>
          <w:ilvl w:val="0"/>
          <w:numId w:val="3"/>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Implement and enforce appropriate process and general fire precautions at all stages of the event</w:t>
      </w:r>
    </w:p>
    <w:p w14:paraId="6592B9D5" w14:textId="77777777" w:rsidR="00CC0E5E" w:rsidRPr="008E2ADB" w:rsidRDefault="00CC0E5E" w:rsidP="00CC0E5E">
      <w:pPr>
        <w:numPr>
          <w:ilvl w:val="0"/>
          <w:numId w:val="3"/>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Provide adequate means for raising the alarm, and suitable and sufficient escape routes</w:t>
      </w:r>
    </w:p>
    <w:p w14:paraId="48F00229" w14:textId="77777777" w:rsidR="00CC0E5E" w:rsidRPr="008E2ADB" w:rsidRDefault="00CC0E5E" w:rsidP="00CC0E5E">
      <w:pPr>
        <w:numPr>
          <w:ilvl w:val="0"/>
          <w:numId w:val="3"/>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Provide suitable and sufficient fire-fighting equipment</w:t>
      </w:r>
    </w:p>
    <w:p w14:paraId="3A8FBA4F" w14:textId="68BB8C28"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 xml:space="preserve">Prevention and mitigation of the risk of fire is a critical part of event safety. </w:t>
      </w:r>
    </w:p>
    <w:p w14:paraId="36EB3341" w14:textId="7DFCD9FB"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Good management of fire safety is essential to ensure that a fire is unlikely to occur, or if it does break out, that it can be controlled quickly and safely without putting staff and the public at risk. The aim is to provide an understanding of what is required based on the level of risk of the event.</w:t>
      </w:r>
    </w:p>
    <w:p w14:paraId="781A142F"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General fire safety legislation</w:t>
      </w:r>
    </w:p>
    <w:p w14:paraId="1B854B88" w14:textId="17EFE015"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General fire safety in England and Wales is delivered through compliance with the Regulatory Reform (Fire Safety) Order 2005.</w:t>
      </w:r>
      <w:r w:rsidR="00412D0A">
        <w:rPr>
          <w:rFonts w:eastAsia="Times New Roman" w:cstheme="minorHAnsi"/>
          <w:color w:val="101010"/>
          <w:sz w:val="24"/>
          <w:szCs w:val="24"/>
          <w:lang w:eastAsia="en-GB"/>
        </w:rPr>
        <w:t xml:space="preserve">  </w:t>
      </w:r>
      <w:r w:rsidRPr="008E2ADB">
        <w:rPr>
          <w:rFonts w:eastAsia="Times New Roman" w:cstheme="minorHAnsi"/>
          <w:color w:val="101010"/>
          <w:sz w:val="24"/>
          <w:szCs w:val="24"/>
          <w:lang w:eastAsia="en-GB"/>
        </w:rPr>
        <w:t>This legislation applies to all events.</w:t>
      </w:r>
    </w:p>
    <w:p w14:paraId="63AF6F01" w14:textId="6874556D"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 xml:space="preserve">The legislation implements a risk-based approach to fire safety. It requires the responsible person (usually the event organiser, licence holder or person having overall control of the </w:t>
      </w:r>
      <w:r w:rsidRPr="008E2ADB">
        <w:rPr>
          <w:rFonts w:eastAsia="Times New Roman" w:cstheme="minorHAnsi"/>
          <w:color w:val="101010"/>
          <w:sz w:val="24"/>
          <w:szCs w:val="24"/>
          <w:lang w:eastAsia="en-GB"/>
        </w:rPr>
        <w:lastRenderedPageBreak/>
        <w:t>event) to carry out a fire-safety risk assessment and implement appropriate fire precautionary and protection measures, and to maintain a fire-management plan.</w:t>
      </w:r>
    </w:p>
    <w:p w14:paraId="7A9AFFBC" w14:textId="60FEDDC6"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Fire-safety information is available on the relevant government websites, along with guidance on how to ensure compliance.</w:t>
      </w:r>
    </w:p>
    <w:p w14:paraId="2751D86B"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Process fire precautions</w:t>
      </w:r>
    </w:p>
    <w:p w14:paraId="09E843EF" w14:textId="66C16A3C"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 xml:space="preserve">Process fire precautions are the special fire measures required in any workplace in connection with the work process being carried out (including the storage of articles, substances and materials). Use of Liquefied Petroleum Gas (LPG) at an event is an example of a process fire risk. The precautions are intended to prevent/reduce the likelihood of a fire breaking out, or if a fire does occur, to reduce its spread and intensity. Further advice on process fire precautions can be found on the Health and Safety Executive's (HSE) website: </w:t>
      </w:r>
      <w:hyperlink r:id="rId8" w:history="1">
        <w:r w:rsidRPr="008E2ADB">
          <w:rPr>
            <w:rFonts w:eastAsia="Times New Roman" w:cstheme="minorHAnsi"/>
            <w:color w:val="B201B3"/>
            <w:sz w:val="24"/>
            <w:szCs w:val="24"/>
            <w:lang w:eastAsia="en-GB"/>
          </w:rPr>
          <w:t> </w:t>
        </w:r>
      </w:hyperlink>
      <w:hyperlink r:id="rId9" w:tgtFrame="_blank" w:history="1">
        <w:r w:rsidRPr="008E2ADB">
          <w:rPr>
            <w:rFonts w:eastAsia="Times New Roman" w:cstheme="minorHAnsi"/>
            <w:color w:val="B201B3"/>
            <w:sz w:val="24"/>
            <w:szCs w:val="24"/>
            <w:lang w:eastAsia="en-GB"/>
          </w:rPr>
          <w:t>http://www.hse.gov.uk/fireandexplosion/workplace.htm</w:t>
        </w:r>
      </w:hyperlink>
    </w:p>
    <w:p w14:paraId="2E82F11B" w14:textId="2B522720"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Process fire precautions are enforced by HSE or the Local Authority, under the Health and Safety at Work etc Act 1974, the Management of Health and Safety at Work Regulations 1999 (</w:t>
      </w:r>
      <w:proofErr w:type="spellStart"/>
      <w:r w:rsidRPr="008E2ADB">
        <w:rPr>
          <w:rFonts w:eastAsia="Times New Roman" w:cstheme="minorHAnsi"/>
          <w:color w:val="101010"/>
          <w:sz w:val="24"/>
          <w:szCs w:val="24"/>
          <w:lang w:eastAsia="en-GB"/>
        </w:rPr>
        <w:t>MHSWR</w:t>
      </w:r>
      <w:proofErr w:type="spellEnd"/>
      <w:r w:rsidRPr="008E2ADB">
        <w:rPr>
          <w:rFonts w:eastAsia="Times New Roman" w:cstheme="minorHAnsi"/>
          <w:color w:val="101010"/>
          <w:sz w:val="24"/>
          <w:szCs w:val="24"/>
          <w:lang w:eastAsia="en-GB"/>
        </w:rPr>
        <w:t xml:space="preserve">) </w:t>
      </w:r>
      <w:hyperlink r:id="rId10" w:history="1">
        <w:r w:rsidRPr="008E2ADB">
          <w:rPr>
            <w:rFonts w:eastAsia="Times New Roman" w:cstheme="minorHAnsi"/>
            <w:color w:val="B201B3"/>
            <w:sz w:val="24"/>
            <w:szCs w:val="24"/>
            <w:lang w:eastAsia="en-GB"/>
          </w:rPr>
          <w:t> </w:t>
        </w:r>
      </w:hyperlink>
      <w:hyperlink r:id="rId11" w:tgtFrame="_blank" w:history="1">
        <w:r w:rsidRPr="008E2ADB">
          <w:rPr>
            <w:rFonts w:eastAsia="Times New Roman" w:cstheme="minorHAnsi"/>
            <w:color w:val="B201B3"/>
            <w:sz w:val="24"/>
            <w:szCs w:val="24"/>
            <w:lang w:eastAsia="en-GB"/>
          </w:rPr>
          <w:t>http://www.hse.gov.uk/pubns/books/l21.htm</w:t>
        </w:r>
      </w:hyperlink>
      <w:r w:rsidRPr="008E2ADB">
        <w:rPr>
          <w:rFonts w:eastAsia="Times New Roman" w:cstheme="minorHAnsi"/>
          <w:color w:val="101010"/>
          <w:sz w:val="24"/>
          <w:szCs w:val="24"/>
          <w:lang w:eastAsia="en-GB"/>
        </w:rPr>
        <w:t>, and more specific health and safety legislation</w:t>
      </w:r>
      <w:r w:rsidR="00D24FE4">
        <w:rPr>
          <w:rFonts w:eastAsia="Times New Roman" w:cstheme="minorHAnsi"/>
          <w:color w:val="101010"/>
          <w:sz w:val="24"/>
          <w:szCs w:val="24"/>
          <w:lang w:eastAsia="en-GB"/>
        </w:rPr>
        <w:t>.</w:t>
      </w:r>
    </w:p>
    <w:p w14:paraId="70686502"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Fire safety risk assessment</w:t>
      </w:r>
    </w:p>
    <w:p w14:paraId="6FF7F383" w14:textId="1BF6A8B3"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 first requirement is to undertake a fire-safety risk assessment. Consider the venue, any structures, and how to determine what risks exist and what is needed to control those risks.</w:t>
      </w:r>
    </w:p>
    <w:p w14:paraId="1645D71D" w14:textId="60B2A415"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 extent of the fire-safety risk assessment needed will depend on the nature and complexity of the event. In some instances, the event organiser will be able to carry out the fire risk assessment. However, as the complexity of an event increases, advice should be sought from a competent person who has sufficient expertise and experience in the type of event being planned.</w:t>
      </w:r>
    </w:p>
    <w:p w14:paraId="105A2404" w14:textId="7BB1CDAB"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 xml:space="preserve">Comprehensive guidance on fire-safety risk assessment can be found in HM Government </w:t>
      </w:r>
      <w:hyperlink r:id="rId12" w:tgtFrame="_blank" w:history="1">
        <w:r w:rsidRPr="008E2ADB">
          <w:rPr>
            <w:rFonts w:eastAsia="Times New Roman" w:cstheme="minorHAnsi"/>
            <w:color w:val="B201B3"/>
            <w:sz w:val="24"/>
            <w:szCs w:val="24"/>
            <w:lang w:eastAsia="en-GB"/>
          </w:rPr>
          <w:t>Fire safety risk assessment guides, Open air events and venues; Small and medium places of assembly</w:t>
        </w:r>
      </w:hyperlink>
      <w:r w:rsidRPr="008E2ADB">
        <w:rPr>
          <w:rFonts w:eastAsia="Times New Roman" w:cstheme="minorHAnsi"/>
          <w:color w:val="101010"/>
          <w:sz w:val="24"/>
          <w:szCs w:val="24"/>
          <w:lang w:eastAsia="en-GB"/>
        </w:rPr>
        <w:t xml:space="preserve"> and also </w:t>
      </w:r>
      <w:hyperlink r:id="rId13" w:tgtFrame="_blank" w:history="1">
        <w:r w:rsidRPr="008E2ADB">
          <w:rPr>
            <w:rFonts w:eastAsia="Times New Roman" w:cstheme="minorHAnsi"/>
            <w:color w:val="B201B3"/>
            <w:sz w:val="24"/>
            <w:szCs w:val="24"/>
            <w:lang w:eastAsia="en-GB"/>
          </w:rPr>
          <w:t>Large places of assembly</w:t>
        </w:r>
      </w:hyperlink>
      <w:r w:rsidRPr="008E2ADB">
        <w:rPr>
          <w:rFonts w:eastAsia="Times New Roman" w:cstheme="minorHAnsi"/>
          <w:color w:val="101010"/>
          <w:sz w:val="24"/>
          <w:szCs w:val="24"/>
          <w:lang w:eastAsia="en-GB"/>
        </w:rPr>
        <w:t xml:space="preserve">. </w:t>
      </w:r>
    </w:p>
    <w:p w14:paraId="6D2474EF" w14:textId="6F2C0684"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 fire-safety risk assessment can be carried out either as a separate exercise or as part of a single risk assessment covering other health and safety risks. Ensure that, based on the findings of the assessment, adequate and appropriate fire-safety measures are taken to minimise the risk of injury or loss of life in the event of a fire. This will include safe occupant capacities based around means of escape.</w:t>
      </w:r>
    </w:p>
    <w:p w14:paraId="5DF6CE9F"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Identifying fire risks</w:t>
      </w:r>
    </w:p>
    <w:p w14:paraId="60619642"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Ignition sources</w:t>
      </w:r>
    </w:p>
    <w:p w14:paraId="1ACE3C6B" w14:textId="3B2490ED"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Possible sources of ignition at an event could include:</w:t>
      </w:r>
    </w:p>
    <w:p w14:paraId="74F0918F" w14:textId="77777777" w:rsidR="00CC0E5E" w:rsidRPr="008E2ADB" w:rsidRDefault="00CC0E5E" w:rsidP="00CC0E5E">
      <w:pPr>
        <w:numPr>
          <w:ilvl w:val="0"/>
          <w:numId w:val="4"/>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deliberate ignition due to arson/wilful fire raising</w:t>
      </w:r>
    </w:p>
    <w:p w14:paraId="4C0D2019" w14:textId="77777777" w:rsidR="00CC0E5E" w:rsidRPr="008E2ADB" w:rsidRDefault="00CC0E5E" w:rsidP="00CC0E5E">
      <w:pPr>
        <w:numPr>
          <w:ilvl w:val="0"/>
          <w:numId w:val="4"/>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cooking and catering appliances, including barbecues (official catering and public campsites/picnic areas)</w:t>
      </w:r>
    </w:p>
    <w:p w14:paraId="2E953061" w14:textId="77777777" w:rsidR="00CC0E5E" w:rsidRPr="008E2ADB" w:rsidRDefault="00CC0E5E" w:rsidP="00CC0E5E">
      <w:pPr>
        <w:numPr>
          <w:ilvl w:val="0"/>
          <w:numId w:val="4"/>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cigarettes, matches and lighters</w:t>
      </w:r>
    </w:p>
    <w:p w14:paraId="2C6DD627" w14:textId="77777777" w:rsidR="00CC0E5E" w:rsidRPr="008E2ADB" w:rsidRDefault="00CC0E5E" w:rsidP="00CC0E5E">
      <w:pPr>
        <w:numPr>
          <w:ilvl w:val="0"/>
          <w:numId w:val="4"/>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campfires and bonfires</w:t>
      </w:r>
    </w:p>
    <w:p w14:paraId="0CBD52A3" w14:textId="77777777" w:rsidR="00CC0E5E" w:rsidRPr="008E2ADB" w:rsidRDefault="00CC0E5E" w:rsidP="00CC0E5E">
      <w:pPr>
        <w:numPr>
          <w:ilvl w:val="0"/>
          <w:numId w:val="4"/>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fixed and portable heating appliances</w:t>
      </w:r>
    </w:p>
    <w:p w14:paraId="56180118" w14:textId="77777777" w:rsidR="00CC0E5E" w:rsidRPr="008E2ADB" w:rsidRDefault="00CC0E5E" w:rsidP="00CC0E5E">
      <w:pPr>
        <w:numPr>
          <w:ilvl w:val="0"/>
          <w:numId w:val="4"/>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lastRenderedPageBreak/>
        <w:t>hot processes welding, hot cutting, angle grinding, blacksmiths</w:t>
      </w:r>
    </w:p>
    <w:p w14:paraId="71EED34D" w14:textId="77777777" w:rsidR="00CC0E5E" w:rsidRPr="008E2ADB" w:rsidRDefault="00CC0E5E" w:rsidP="00CC0E5E">
      <w:pPr>
        <w:numPr>
          <w:ilvl w:val="0"/>
          <w:numId w:val="4"/>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faulty or misused electrical equipment</w:t>
      </w:r>
    </w:p>
    <w:p w14:paraId="722D2C27" w14:textId="77777777" w:rsidR="00CC0E5E" w:rsidRPr="008E2ADB" w:rsidRDefault="00CC0E5E" w:rsidP="00CC0E5E">
      <w:pPr>
        <w:numPr>
          <w:ilvl w:val="0"/>
          <w:numId w:val="4"/>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lighting equipment and light fittings general and effect/display lighting</w:t>
      </w:r>
    </w:p>
    <w:p w14:paraId="4A03C5AF" w14:textId="77777777" w:rsidR="00CC0E5E" w:rsidRPr="008E2ADB" w:rsidRDefault="00CC0E5E" w:rsidP="00CC0E5E">
      <w:pPr>
        <w:numPr>
          <w:ilvl w:val="0"/>
          <w:numId w:val="4"/>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naked flames candles, garden flares, open flame equipment</w:t>
      </w:r>
    </w:p>
    <w:p w14:paraId="0DC3AB9C" w14:textId="77777777" w:rsidR="00CC0E5E" w:rsidRPr="008E2ADB" w:rsidRDefault="00CC0E5E" w:rsidP="00CC0E5E">
      <w:pPr>
        <w:numPr>
          <w:ilvl w:val="0"/>
          <w:numId w:val="4"/>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pyrotechnics and fireworks</w:t>
      </w:r>
    </w:p>
    <w:p w14:paraId="269B3BC4" w14:textId="77777777" w:rsidR="00CC0E5E" w:rsidRPr="008E2ADB" w:rsidRDefault="00CC0E5E" w:rsidP="00CC0E5E">
      <w:pPr>
        <w:numPr>
          <w:ilvl w:val="0"/>
          <w:numId w:val="4"/>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vehicle exhausts</w:t>
      </w:r>
    </w:p>
    <w:p w14:paraId="2C509B9B" w14:textId="77777777" w:rsidR="00CC0E5E" w:rsidRPr="008E2ADB" w:rsidRDefault="00CC0E5E" w:rsidP="00CC0E5E">
      <w:pPr>
        <w:numPr>
          <w:ilvl w:val="0"/>
          <w:numId w:val="4"/>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lightning strike</w:t>
      </w:r>
    </w:p>
    <w:p w14:paraId="2B6E5523" w14:textId="77777777" w:rsidR="00CC0E5E" w:rsidRPr="008E2ADB" w:rsidRDefault="00CC0E5E" w:rsidP="00CC0E5E">
      <w:pPr>
        <w:numPr>
          <w:ilvl w:val="0"/>
          <w:numId w:val="4"/>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fire used in performance, e.g. flame eater</w:t>
      </w:r>
    </w:p>
    <w:p w14:paraId="42C4F2A9"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Combustible materials</w:t>
      </w:r>
    </w:p>
    <w:p w14:paraId="189E1A29" w14:textId="04D8AC84"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Materials that provide a source of fuel at an event or venue could include:</w:t>
      </w:r>
    </w:p>
    <w:p w14:paraId="045E456E" w14:textId="77777777" w:rsidR="00CC0E5E" w:rsidRPr="008E2ADB" w:rsidRDefault="00CC0E5E" w:rsidP="00CC0E5E">
      <w:pPr>
        <w:numPr>
          <w:ilvl w:val="0"/>
          <w:numId w:val="5"/>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non-flame-retardant tents and marquees</w:t>
      </w:r>
    </w:p>
    <w:p w14:paraId="2F9A38B8" w14:textId="77777777" w:rsidR="00CC0E5E" w:rsidRPr="008E2ADB" w:rsidRDefault="00CC0E5E" w:rsidP="00CC0E5E">
      <w:pPr>
        <w:numPr>
          <w:ilvl w:val="0"/>
          <w:numId w:val="5"/>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non-flame-retardant stages, backdrops, drapes, scenery and screens</w:t>
      </w:r>
    </w:p>
    <w:p w14:paraId="4A7EC7AE" w14:textId="77777777" w:rsidR="00CC0E5E" w:rsidRPr="008E2ADB" w:rsidRDefault="00CC0E5E" w:rsidP="00CC0E5E">
      <w:pPr>
        <w:numPr>
          <w:ilvl w:val="0"/>
          <w:numId w:val="5"/>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non-flame-retardant displays and stands</w:t>
      </w:r>
    </w:p>
    <w:p w14:paraId="7CBF3A12" w14:textId="77777777" w:rsidR="00CC0E5E" w:rsidRPr="008E2ADB" w:rsidRDefault="00CC0E5E" w:rsidP="00CC0E5E">
      <w:pPr>
        <w:numPr>
          <w:ilvl w:val="0"/>
          <w:numId w:val="5"/>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packaging materials, litter and waste materials</w:t>
      </w:r>
    </w:p>
    <w:p w14:paraId="4F23B8E7" w14:textId="77777777" w:rsidR="00CC0E5E" w:rsidRPr="008E2ADB" w:rsidRDefault="00CC0E5E" w:rsidP="00CC0E5E">
      <w:pPr>
        <w:numPr>
          <w:ilvl w:val="0"/>
          <w:numId w:val="5"/>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flammable gases (LPG cylinders)</w:t>
      </w:r>
    </w:p>
    <w:p w14:paraId="28795335" w14:textId="77777777" w:rsidR="00CC0E5E" w:rsidRPr="008E2ADB" w:rsidRDefault="00CC0E5E" w:rsidP="00CC0E5E">
      <w:pPr>
        <w:numPr>
          <w:ilvl w:val="0"/>
          <w:numId w:val="5"/>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fuel stocks for generators, etc</w:t>
      </w:r>
    </w:p>
    <w:p w14:paraId="5179D133" w14:textId="77777777" w:rsidR="00CC0E5E" w:rsidRPr="008E2ADB" w:rsidRDefault="00CC0E5E" w:rsidP="00CC0E5E">
      <w:pPr>
        <w:numPr>
          <w:ilvl w:val="0"/>
          <w:numId w:val="5"/>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animal feed and bedding</w:t>
      </w:r>
    </w:p>
    <w:p w14:paraId="495B6D2A" w14:textId="77777777" w:rsidR="00CC0E5E" w:rsidRPr="008E2ADB" w:rsidRDefault="00CC0E5E" w:rsidP="00CC0E5E">
      <w:pPr>
        <w:numPr>
          <w:ilvl w:val="0"/>
          <w:numId w:val="5"/>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dry vegetation, e.g. stubble fields</w:t>
      </w:r>
    </w:p>
    <w:p w14:paraId="5377C3B7" w14:textId="77777777" w:rsidR="00CC0E5E" w:rsidRPr="008E2ADB" w:rsidRDefault="00CC0E5E" w:rsidP="00CC0E5E">
      <w:pPr>
        <w:numPr>
          <w:ilvl w:val="0"/>
          <w:numId w:val="5"/>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seating, cushions, soft furnishings</w:t>
      </w:r>
    </w:p>
    <w:p w14:paraId="349C2D0E" w14:textId="77777777" w:rsidR="00CC0E5E" w:rsidRPr="008E2ADB" w:rsidRDefault="00CC0E5E" w:rsidP="00CC0E5E">
      <w:pPr>
        <w:numPr>
          <w:ilvl w:val="0"/>
          <w:numId w:val="5"/>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temporary floor and wall coverings</w:t>
      </w:r>
    </w:p>
    <w:p w14:paraId="6679494D" w14:textId="77777777" w:rsidR="00CC0E5E" w:rsidRPr="008E2ADB" w:rsidRDefault="00CC0E5E" w:rsidP="00CC0E5E">
      <w:pPr>
        <w:numPr>
          <w:ilvl w:val="0"/>
          <w:numId w:val="5"/>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vehicles</w:t>
      </w:r>
    </w:p>
    <w:p w14:paraId="55FDF94B"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Fire prevention</w:t>
      </w:r>
    </w:p>
    <w:p w14:paraId="0B51A8C9" w14:textId="57A0EAC0"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There are a number of important aspects of fire prevention. In addition to the following issues forming part of the fire-safety risk assessment, it is also recommended that they be referenced in the fire-safety management plan. Most involve the elimination or control of fuels and/or of sources of ignition:</w:t>
      </w:r>
    </w:p>
    <w:p w14:paraId="56C4E822" w14:textId="77777777" w:rsidR="00CC0E5E" w:rsidRPr="008E2ADB" w:rsidRDefault="00CC0E5E" w:rsidP="00CC0E5E">
      <w:pPr>
        <w:numPr>
          <w:ilvl w:val="0"/>
          <w:numId w:val="6"/>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 xml:space="preserve">use fire-retardant fabrics for tents/marquees and other temporary demountable structures, such as stages and grandstands. For further guidance, see </w:t>
      </w:r>
      <w:hyperlink r:id="rId14" w:tgtFrame="_blank" w:history="1">
        <w:r w:rsidRPr="008E2ADB">
          <w:rPr>
            <w:rFonts w:eastAsia="Times New Roman" w:cstheme="minorHAnsi"/>
            <w:color w:val="B201B3"/>
            <w:sz w:val="24"/>
            <w:szCs w:val="24"/>
            <w:lang w:eastAsia="en-GB"/>
          </w:rPr>
          <w:t>The Performance Textiles Association's</w:t>
        </w:r>
      </w:hyperlink>
      <w:r w:rsidRPr="008E2ADB">
        <w:rPr>
          <w:rFonts w:eastAsia="Times New Roman" w:cstheme="minorHAnsi"/>
          <w:color w:val="101010"/>
          <w:sz w:val="24"/>
          <w:szCs w:val="24"/>
          <w:lang w:eastAsia="en-GB"/>
        </w:rPr>
        <w:t xml:space="preserve"> (</w:t>
      </w:r>
      <w:proofErr w:type="spellStart"/>
      <w:r w:rsidRPr="008E2ADB">
        <w:rPr>
          <w:rFonts w:eastAsia="Times New Roman" w:cstheme="minorHAnsi"/>
          <w:color w:val="101010"/>
          <w:sz w:val="24"/>
          <w:szCs w:val="24"/>
          <w:lang w:eastAsia="en-GB"/>
        </w:rPr>
        <w:t>MUTA</w:t>
      </w:r>
      <w:proofErr w:type="spellEnd"/>
      <w:r w:rsidRPr="008E2ADB">
        <w:rPr>
          <w:rFonts w:eastAsia="Times New Roman" w:cstheme="minorHAnsi"/>
          <w:color w:val="101010"/>
          <w:sz w:val="24"/>
          <w:szCs w:val="24"/>
          <w:lang w:eastAsia="en-GB"/>
        </w:rPr>
        <w:t>) website</w:t>
      </w:r>
    </w:p>
    <w:p w14:paraId="5B0A3445" w14:textId="77777777" w:rsidR="00CC0E5E" w:rsidRPr="008E2ADB" w:rsidRDefault="00CC0E5E" w:rsidP="00CC0E5E">
      <w:pPr>
        <w:numPr>
          <w:ilvl w:val="0"/>
          <w:numId w:val="6"/>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take into account the fire properties of building structures, wall linings and necessary fire separation from risk areas when assessing the suitability of a venue that is to be used for public assembly. Details can be obtained from Fire safety risk assessment – large places of assembly or Approved Document B of the Building Regulations</w:t>
      </w:r>
    </w:p>
    <w:p w14:paraId="318425B1" w14:textId="77777777" w:rsidR="00CC0E5E" w:rsidRPr="008E2ADB" w:rsidRDefault="00CC0E5E" w:rsidP="00CC0E5E">
      <w:pPr>
        <w:numPr>
          <w:ilvl w:val="0"/>
          <w:numId w:val="6"/>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ensure there is an adequate distance between temporary structures, traders and refreshment stands etc. Use fire breaks between groups of stands to reduce the spread of fire, allow people to escape and provide access for emergency vehicles. A separation distance of 6 metres with a fire break every 24 metres is recommended, but this is determined by the risk of the fire and consequential spread</w:t>
      </w:r>
    </w:p>
    <w:p w14:paraId="35A6BCFC" w14:textId="77777777" w:rsidR="00CC0E5E" w:rsidRPr="008E2ADB" w:rsidRDefault="00CC0E5E" w:rsidP="00CC0E5E">
      <w:pPr>
        <w:numPr>
          <w:ilvl w:val="0"/>
          <w:numId w:val="6"/>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remove rubbish and waste, including fat waste, from the site regularly. Also, pick up litter and provide sufficient waste bins and collection</w:t>
      </w:r>
    </w:p>
    <w:p w14:paraId="58ACE68A" w14:textId="77777777" w:rsidR="00CC0E5E" w:rsidRPr="008E2ADB" w:rsidRDefault="00CC0E5E" w:rsidP="00CC0E5E">
      <w:pPr>
        <w:numPr>
          <w:ilvl w:val="0"/>
          <w:numId w:val="6"/>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ensure areas underneath temporary structures, including seating, are regularly cleaned and kept free of litter and debris</w:t>
      </w:r>
    </w:p>
    <w:p w14:paraId="7C15118C" w14:textId="77777777" w:rsidR="00CC0E5E" w:rsidRPr="008E2ADB" w:rsidRDefault="00CC0E5E" w:rsidP="00CC0E5E">
      <w:pPr>
        <w:numPr>
          <w:ilvl w:val="0"/>
          <w:numId w:val="6"/>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control open fires, barbecues, etc</w:t>
      </w:r>
    </w:p>
    <w:p w14:paraId="4F4F2AC2" w14:textId="77777777" w:rsidR="00CC0E5E" w:rsidRPr="008E2ADB" w:rsidRDefault="00CC0E5E" w:rsidP="00CC0E5E">
      <w:pPr>
        <w:numPr>
          <w:ilvl w:val="0"/>
          <w:numId w:val="6"/>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effectively control catering units and cooking facilities</w:t>
      </w:r>
    </w:p>
    <w:p w14:paraId="2B283AE8" w14:textId="77777777" w:rsidR="00CC0E5E" w:rsidRPr="008E2ADB" w:rsidRDefault="00CC0E5E" w:rsidP="00CC0E5E">
      <w:pPr>
        <w:numPr>
          <w:ilvl w:val="0"/>
          <w:numId w:val="6"/>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lastRenderedPageBreak/>
        <w:t>ensure LPG cylinders are installed, stored, used and transported safely. Fixed LPG tanks are also subject to safety considerations. For further details, see the box on Gas safety at the end of this chapter</w:t>
      </w:r>
    </w:p>
    <w:p w14:paraId="4168955F" w14:textId="77777777" w:rsidR="00CC0E5E" w:rsidRPr="008E2ADB" w:rsidRDefault="00CC0E5E" w:rsidP="00CC0E5E">
      <w:pPr>
        <w:numPr>
          <w:ilvl w:val="0"/>
          <w:numId w:val="6"/>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safely store flammable solids and liquids</w:t>
      </w:r>
    </w:p>
    <w:p w14:paraId="6437351A" w14:textId="77777777" w:rsidR="00CC0E5E" w:rsidRPr="008E2ADB" w:rsidRDefault="00CC0E5E" w:rsidP="00CC0E5E">
      <w:pPr>
        <w:numPr>
          <w:ilvl w:val="0"/>
          <w:numId w:val="6"/>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ensure all electrical equipment is installed and maintained by a competent person (see The Purple Guide's chapter Electrical and Lighting)</w:t>
      </w:r>
    </w:p>
    <w:p w14:paraId="34FD0D3F" w14:textId="77777777" w:rsidR="00CC0E5E" w:rsidRPr="008E2ADB" w:rsidRDefault="00CC0E5E" w:rsidP="00CC0E5E">
      <w:pPr>
        <w:numPr>
          <w:ilvl w:val="0"/>
          <w:numId w:val="6"/>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control fireworks, other pyrotechnics and sources of ignition. Sky lanterns come with inherent dangers that cannot be controlled so their use is not recommended</w:t>
      </w:r>
    </w:p>
    <w:p w14:paraId="6AF20BD1" w14:textId="77777777" w:rsidR="00CC0E5E" w:rsidRPr="008E2ADB" w:rsidRDefault="00CC0E5E" w:rsidP="00CC0E5E">
      <w:pPr>
        <w:numPr>
          <w:ilvl w:val="0"/>
          <w:numId w:val="6"/>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ensure generators are located and used safely, including when they are being refuelled. If possible restrict the use of petrol generators</w:t>
      </w:r>
    </w:p>
    <w:p w14:paraId="62BC3A46" w14:textId="77777777" w:rsidR="00CC0E5E" w:rsidRPr="008E2ADB" w:rsidRDefault="00CC0E5E" w:rsidP="00CC0E5E">
      <w:pPr>
        <w:numPr>
          <w:ilvl w:val="0"/>
          <w:numId w:val="6"/>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store hay, straw and animal bedding away from ignition sources, and keep separated from structures to prevent fire spread</w:t>
      </w:r>
    </w:p>
    <w:p w14:paraId="6A147841" w14:textId="77777777" w:rsidR="00CC0E5E" w:rsidRPr="008E2ADB" w:rsidRDefault="00CC0E5E" w:rsidP="00CC0E5E">
      <w:pPr>
        <w:numPr>
          <w:ilvl w:val="0"/>
          <w:numId w:val="6"/>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maintain vegetation during dry conditions so it does not become a fire risk</w:t>
      </w:r>
    </w:p>
    <w:p w14:paraId="2E5633E0" w14:textId="77777777" w:rsidR="00CC0E5E" w:rsidRPr="008E2ADB" w:rsidRDefault="00CC0E5E" w:rsidP="00CC0E5E">
      <w:pPr>
        <w:numPr>
          <w:ilvl w:val="0"/>
          <w:numId w:val="6"/>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conduct periodic site inspections</w:t>
      </w:r>
    </w:p>
    <w:p w14:paraId="3C10DF2F" w14:textId="77777777" w:rsidR="00CC0E5E" w:rsidRPr="008E2ADB" w:rsidRDefault="00CC0E5E" w:rsidP="00CC0E5E">
      <w:pPr>
        <w:numPr>
          <w:ilvl w:val="0"/>
          <w:numId w:val="6"/>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 xml:space="preserve">For further information, see the fire safety guidance on the </w:t>
      </w:r>
      <w:hyperlink r:id="rId15" w:tgtFrame="_blank" w:history="1">
        <w:r w:rsidRPr="008E2ADB">
          <w:rPr>
            <w:rFonts w:eastAsia="Times New Roman" w:cstheme="minorHAnsi"/>
            <w:color w:val="B201B3"/>
            <w:sz w:val="24"/>
            <w:szCs w:val="24"/>
            <w:lang w:eastAsia="en-GB"/>
          </w:rPr>
          <w:t>GOV.UK</w:t>
        </w:r>
      </w:hyperlink>
      <w:r w:rsidRPr="008E2ADB">
        <w:rPr>
          <w:rFonts w:eastAsia="Times New Roman" w:cstheme="minorHAnsi"/>
          <w:color w:val="101010"/>
          <w:sz w:val="24"/>
          <w:szCs w:val="24"/>
          <w:lang w:eastAsia="en-GB"/>
        </w:rPr>
        <w:t xml:space="preserve"> website</w:t>
      </w:r>
    </w:p>
    <w:p w14:paraId="6E4EDA80" w14:textId="2DB50C58" w:rsidR="00CC0E5E" w:rsidRPr="008E2ADB" w:rsidRDefault="00CC0E5E" w:rsidP="00CC0E5E">
      <w:pPr>
        <w:spacing w:after="180" w:line="240" w:lineRule="auto"/>
        <w:rPr>
          <w:rFonts w:eastAsia="Times New Roman" w:cstheme="minorHAnsi"/>
          <w:color w:val="101010"/>
          <w:sz w:val="24"/>
          <w:szCs w:val="24"/>
          <w:lang w:eastAsia="en-GB"/>
        </w:rPr>
      </w:pPr>
    </w:p>
    <w:p w14:paraId="622144D4"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Precautions in case of fire</w:t>
      </w:r>
    </w:p>
    <w:p w14:paraId="315A5B3F" w14:textId="15A76A75"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Have a plan that identifies the measures necessary to detect a fire (watchtowers, fire wardens, smoke alarms), to alert people, and to evacuate them to a safe place in the event of a fire.</w:t>
      </w:r>
    </w:p>
    <w:p w14:paraId="726B5EBE" w14:textId="3D7A5AEE"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 xml:space="preserve">Ensure there are suitable and adequate methods of giving warning in case of fire, from fixed fire alarms, fire stewards, public address systems, etc. </w:t>
      </w:r>
    </w:p>
    <w:p w14:paraId="1C1E9D94"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Means of escape</w:t>
      </w:r>
    </w:p>
    <w:p w14:paraId="5D9008A9" w14:textId="19FF3088"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Make sure there are arrangements for everyone to be able to escape safely from every structure and from the site itself. They should be based on the findings of the fire-safety risk assessment. Seek advice from a competent person who has sufficient expertise and experience in the type of event being planned.</w:t>
      </w:r>
    </w:p>
    <w:p w14:paraId="79A929B0" w14:textId="03922EC1"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 means of escape in case of fire should allow people, regardless of the location of the fire, to move safely along a recognisable escape route to a safe place (such as a street or open space) without being overcome by fire, heat or smoke.</w:t>
      </w:r>
    </w:p>
    <w:p w14:paraId="69B12D29" w14:textId="1A18537E"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Those in control of some structures with special features, such as fairground rides or inflatables, need to make special arrangements to ensure that people can escape if a fire breaks out.</w:t>
      </w:r>
    </w:p>
    <w:p w14:paraId="4D1E7135" w14:textId="77777777" w:rsidR="00CC0E5E" w:rsidRPr="008E2ADB" w:rsidRDefault="00CC0E5E" w:rsidP="00CC0E5E">
      <w:pPr>
        <w:spacing w:after="0" w:line="240" w:lineRule="auto"/>
        <w:rPr>
          <w:rFonts w:eastAsia="Times New Roman" w:cstheme="minorHAnsi"/>
          <w:color w:val="101010"/>
          <w:sz w:val="24"/>
          <w:szCs w:val="24"/>
          <w:lang w:eastAsia="en-GB"/>
        </w:rPr>
      </w:pPr>
    </w:p>
    <w:p w14:paraId="23E9ED00"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The risks of evacuation of large open spaces</w:t>
      </w:r>
    </w:p>
    <w:p w14:paraId="6035DE4F" w14:textId="3247D726"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For large crowds and in certain environments full evacuation may be inherently dangerous and disruptive, as such the options to partially evacuate, or invacuate (move within the site) need also to be assessed</w:t>
      </w:r>
    </w:p>
    <w:p w14:paraId="0E849CA5"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Escape routes</w:t>
      </w:r>
    </w:p>
    <w:p w14:paraId="107A1A3F" w14:textId="7D1DA4BF"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Bear in mind that an escape route needs to lead to a place of safety; not just out of a tent. So consider the kind of obstructions/incursions that commonly restrict the effectiveness of escape routes. They should not lead:</w:t>
      </w:r>
    </w:p>
    <w:p w14:paraId="374D8E1F" w14:textId="77777777" w:rsidR="00CC0E5E" w:rsidRPr="008E2ADB" w:rsidRDefault="00CC0E5E" w:rsidP="00CC0E5E">
      <w:pPr>
        <w:numPr>
          <w:ilvl w:val="0"/>
          <w:numId w:val="7"/>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lastRenderedPageBreak/>
        <w:t>to closed compounds (unless there is a ready means of opening the perimeter)</w:t>
      </w:r>
    </w:p>
    <w:p w14:paraId="35520DAF" w14:textId="77777777" w:rsidR="00CC0E5E" w:rsidRPr="008E2ADB" w:rsidRDefault="00CC0E5E" w:rsidP="00CC0E5E">
      <w:pPr>
        <w:numPr>
          <w:ilvl w:val="0"/>
          <w:numId w:val="7"/>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past gas or other flammable stores</w:t>
      </w:r>
    </w:p>
    <w:p w14:paraId="27E3C4EC" w14:textId="77777777" w:rsidR="00CC0E5E" w:rsidRPr="008E2ADB" w:rsidRDefault="00CC0E5E" w:rsidP="00CC0E5E">
      <w:pPr>
        <w:numPr>
          <w:ilvl w:val="0"/>
          <w:numId w:val="7"/>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through the kitchen or other likely source of the incident</w:t>
      </w:r>
    </w:p>
    <w:p w14:paraId="68065D1C" w14:textId="77777777" w:rsidR="00CC0E5E" w:rsidRPr="008E2ADB" w:rsidRDefault="00CC0E5E" w:rsidP="00CC0E5E">
      <w:pPr>
        <w:numPr>
          <w:ilvl w:val="0"/>
          <w:numId w:val="7"/>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into campsites with no defined access route</w:t>
      </w:r>
    </w:p>
    <w:p w14:paraId="572EF108" w14:textId="77777777" w:rsidR="00CC0E5E" w:rsidRPr="008E2ADB" w:rsidRDefault="00CC0E5E" w:rsidP="00CC0E5E">
      <w:pPr>
        <w:numPr>
          <w:ilvl w:val="0"/>
          <w:numId w:val="7"/>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through an area that narrows to the point where it become dangerous</w:t>
      </w:r>
    </w:p>
    <w:p w14:paraId="3EE1B565"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 xml:space="preserve">NB: Detailed advice on escape routes is provided in the HM Government </w:t>
      </w:r>
      <w:hyperlink r:id="rId16" w:tgtFrame="_blank" w:history="1">
        <w:r w:rsidRPr="008E2ADB">
          <w:rPr>
            <w:rFonts w:eastAsia="Times New Roman" w:cstheme="minorHAnsi"/>
            <w:color w:val="B201B3"/>
            <w:sz w:val="24"/>
            <w:szCs w:val="24"/>
            <w:lang w:eastAsia="en-GB"/>
          </w:rPr>
          <w:t>Fire safety risk assessment guides Open air events and venues; Small and medium places of assembly</w:t>
        </w:r>
      </w:hyperlink>
      <w:r w:rsidRPr="008E2ADB">
        <w:rPr>
          <w:rFonts w:eastAsia="Times New Roman" w:cstheme="minorHAnsi"/>
          <w:color w:val="101010"/>
          <w:sz w:val="24"/>
          <w:szCs w:val="24"/>
          <w:lang w:eastAsia="en-GB"/>
        </w:rPr>
        <w:t xml:space="preserve"> and </w:t>
      </w:r>
      <w:hyperlink r:id="rId17" w:tgtFrame="_blank" w:history="1">
        <w:r w:rsidRPr="008E2ADB">
          <w:rPr>
            <w:rFonts w:eastAsia="Times New Roman" w:cstheme="minorHAnsi"/>
            <w:color w:val="B201B3"/>
            <w:sz w:val="24"/>
            <w:szCs w:val="24"/>
            <w:lang w:eastAsia="en-GB"/>
          </w:rPr>
          <w:t>Large places of assembly</w:t>
        </w:r>
      </w:hyperlink>
      <w:r w:rsidRPr="008E2ADB">
        <w:rPr>
          <w:rFonts w:eastAsia="Times New Roman" w:cstheme="minorHAnsi"/>
          <w:color w:val="101010"/>
          <w:sz w:val="24"/>
          <w:szCs w:val="24"/>
          <w:lang w:eastAsia="en-GB"/>
        </w:rPr>
        <w:t> and the </w:t>
      </w:r>
      <w:hyperlink r:id="rId18" w:tgtFrame="_blank" w:history="1">
        <w:r w:rsidRPr="008E2ADB">
          <w:rPr>
            <w:rFonts w:eastAsia="Times New Roman" w:cstheme="minorHAnsi"/>
            <w:color w:val="B201B3"/>
            <w:sz w:val="24"/>
            <w:szCs w:val="24"/>
            <w:lang w:eastAsia="en-GB"/>
          </w:rPr>
          <w:t>Guide to Safety at Sports Grounds (The Green Guide)</w:t>
        </w:r>
      </w:hyperlink>
    </w:p>
    <w:p w14:paraId="2777E87F"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Exit widths and numbers</w:t>
      </w:r>
    </w:p>
    <w:p w14:paraId="3E1F0F4D" w14:textId="3E44E2A1"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To calculate the number and size of exits required the following model should be used:</w:t>
      </w:r>
    </w:p>
    <w:p w14:paraId="489ADB88" w14:textId="77777777" w:rsidR="00CC0E5E" w:rsidRPr="008E2ADB" w:rsidRDefault="00CC0E5E" w:rsidP="00CC0E5E">
      <w:pPr>
        <w:numPr>
          <w:ilvl w:val="0"/>
          <w:numId w:val="8"/>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determine risk level (type of event, occupants, etc.)</w:t>
      </w:r>
    </w:p>
    <w:p w14:paraId="77E4D315" w14:textId="77777777" w:rsidR="00CC0E5E" w:rsidRPr="008E2ADB" w:rsidRDefault="00CC0E5E" w:rsidP="00CC0E5E">
      <w:pPr>
        <w:numPr>
          <w:ilvl w:val="0"/>
          <w:numId w:val="8"/>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determine escape time (how long is available to escape)</w:t>
      </w:r>
    </w:p>
    <w:p w14:paraId="2082D54D" w14:textId="77777777" w:rsidR="00CC0E5E" w:rsidRPr="008E2ADB" w:rsidRDefault="00CC0E5E" w:rsidP="00CC0E5E">
      <w:pPr>
        <w:numPr>
          <w:ilvl w:val="0"/>
          <w:numId w:val="8"/>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determine exit flow rate (how fast people will travel along the route)</w:t>
      </w:r>
    </w:p>
    <w:p w14:paraId="563DAA70" w14:textId="77777777" w:rsidR="00CC0E5E" w:rsidRPr="008E2ADB" w:rsidRDefault="00CC0E5E" w:rsidP="00CC0E5E">
      <w:pPr>
        <w:numPr>
          <w:ilvl w:val="0"/>
          <w:numId w:val="8"/>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determine occupancy (type of use and number of occupants)</w:t>
      </w:r>
    </w:p>
    <w:p w14:paraId="16C05EC3" w14:textId="77777777" w:rsidR="00CC0E5E" w:rsidRPr="008E2ADB" w:rsidRDefault="00CC0E5E" w:rsidP="00CC0E5E">
      <w:pPr>
        <w:numPr>
          <w:ilvl w:val="0"/>
          <w:numId w:val="8"/>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determine total exit width required (to enable all people to exit in required time)</w:t>
      </w:r>
    </w:p>
    <w:p w14:paraId="6D000AAC" w14:textId="77777777" w:rsidR="00CC0E5E" w:rsidRPr="008E2ADB" w:rsidRDefault="00CC0E5E" w:rsidP="00CC0E5E">
      <w:pPr>
        <w:numPr>
          <w:ilvl w:val="0"/>
          <w:numId w:val="8"/>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determine minimum number and size of exits required</w:t>
      </w:r>
    </w:p>
    <w:p w14:paraId="35A64C4A"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Travel Distances</w:t>
      </w:r>
    </w:p>
    <w:p w14:paraId="47C98AA0" w14:textId="73B71021"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Once the number and location of people and the required exit capacity has been calculated, the siting of the exits should be determined. This needs to take into account the distance that people will have to travel to get to them. Where escape is available in more than one direction, the travel distance can be extended.</w:t>
      </w:r>
    </w:p>
    <w:p w14:paraId="19D7EA81" w14:textId="50F2B36E"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Table 1, below, gives suggested travel distances for temporary structures. For permanent structures, the original design criteria should be referred to.</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1"/>
        <w:gridCol w:w="2266"/>
        <w:gridCol w:w="2585"/>
      </w:tblGrid>
      <w:tr w:rsidR="00CC0E5E" w:rsidRPr="008E2ADB" w14:paraId="09D9C6F9" w14:textId="77777777" w:rsidTr="00CC0E5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4C0A31"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Structure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2FBD88"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Escape route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871266"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Suggested travel distance</w:t>
            </w:r>
          </w:p>
        </w:tc>
      </w:tr>
      <w:tr w:rsidR="00CC0E5E" w:rsidRPr="008E2ADB" w14:paraId="495F7411" w14:textId="77777777" w:rsidTr="00CC0E5E">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2B2F1DD"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Small Marquee or tent</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F54FA1"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Escape in more than one direction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FC8AA3"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18m</w:t>
            </w:r>
          </w:p>
        </w:tc>
      </w:tr>
      <w:tr w:rsidR="00CC0E5E" w:rsidRPr="008E2ADB" w14:paraId="3199605F" w14:textId="77777777" w:rsidTr="00CC0E5E">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F49CBF" w14:textId="77777777" w:rsidR="00CC0E5E" w:rsidRPr="008E2ADB" w:rsidRDefault="00CC0E5E" w:rsidP="00CC0E5E">
            <w:pPr>
              <w:spacing w:after="0" w:line="240" w:lineRule="auto"/>
              <w:rPr>
                <w:rFonts w:eastAsia="Times New Roman" w:cstheme="minorHAnsi"/>
                <w:color w:val="101010"/>
                <w:sz w:val="24"/>
                <w:szCs w:val="24"/>
                <w:lang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2E2CCB"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Escape in only one direction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27946AD"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6.5m</w:t>
            </w:r>
          </w:p>
        </w:tc>
      </w:tr>
      <w:tr w:rsidR="00CC0E5E" w:rsidRPr="008E2ADB" w14:paraId="4F7E3AEA" w14:textId="77777777" w:rsidTr="00CC0E5E">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412EA5C"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Air-supported structures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4B5C10F"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Escape in more than one direction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BC3D09"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12m</w:t>
            </w:r>
          </w:p>
        </w:tc>
      </w:tr>
      <w:tr w:rsidR="00CC0E5E" w:rsidRPr="008E2ADB" w14:paraId="16B8152B" w14:textId="77777777" w:rsidTr="00CC0E5E">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A70923" w14:textId="77777777" w:rsidR="00CC0E5E" w:rsidRPr="008E2ADB" w:rsidRDefault="00CC0E5E" w:rsidP="00CC0E5E">
            <w:pPr>
              <w:spacing w:after="0" w:line="240" w:lineRule="auto"/>
              <w:rPr>
                <w:rFonts w:eastAsia="Times New Roman" w:cstheme="minorHAnsi"/>
                <w:color w:val="101010"/>
                <w:sz w:val="24"/>
                <w:szCs w:val="24"/>
                <w:lang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B164D4B"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Escape in only one direction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1A01E53"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Not recommended</w:t>
            </w:r>
          </w:p>
        </w:tc>
      </w:tr>
      <w:tr w:rsidR="00CC0E5E" w:rsidRPr="008E2ADB" w14:paraId="51D580F7" w14:textId="77777777" w:rsidTr="00CC0E5E">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F10E33F"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Other temporary structure, including large marquees and Big Top type structures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5EAAC72"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Escape in more than one direction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E672F9"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25m up to 60m, dependant on risk</w:t>
            </w:r>
          </w:p>
        </w:tc>
      </w:tr>
      <w:tr w:rsidR="00CC0E5E" w:rsidRPr="008E2ADB" w14:paraId="7FC3E78A" w14:textId="77777777" w:rsidTr="00CC0E5E">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C15AA7" w14:textId="77777777" w:rsidR="00CC0E5E" w:rsidRPr="008E2ADB" w:rsidRDefault="00CC0E5E" w:rsidP="00CC0E5E">
            <w:pPr>
              <w:spacing w:after="0" w:line="240" w:lineRule="auto"/>
              <w:rPr>
                <w:rFonts w:eastAsia="Times New Roman" w:cstheme="minorHAnsi"/>
                <w:color w:val="101010"/>
                <w:sz w:val="24"/>
                <w:szCs w:val="24"/>
                <w:lang w:eastAsia="en-GB"/>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BF60C1"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Escape in only one direction</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EFACC5"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12m to 25m, dependant on risk</w:t>
            </w:r>
          </w:p>
        </w:tc>
      </w:tr>
    </w:tbl>
    <w:p w14:paraId="1996A181"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Table 1: Suggested travel distances for temporary structures</w:t>
      </w:r>
    </w:p>
    <w:p w14:paraId="42BE9BD1"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lastRenderedPageBreak/>
        <w:t>Evacuation Time</w:t>
      </w:r>
    </w:p>
    <w:p w14:paraId="256C857B" w14:textId="09DA5D1A"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 maximum escape time for open-air events can vary dependant on various factors, including the size of the venue, whether full or partial evacuation is employed, etc. This is normally between five and 10 minutes. These times depend largely on the level of fire risk present, with the figure of five minutes suggested for higher-risk events, and a longer period for lower fire-risk events.</w:t>
      </w:r>
    </w:p>
    <w:p w14:paraId="4F499061" w14:textId="193275A1"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 escape times for individual structures should be based on between 2 and 3 minutes dependant on risk.</w:t>
      </w:r>
    </w:p>
    <w:p w14:paraId="5434CB21"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Escape route capacities</w:t>
      </w:r>
    </w:p>
    <w:p w14:paraId="08618E6D" w14:textId="3FD76A65"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 capacity of an escape route is determined by the rate at which people pass along the route during each minute of the defined escape time. The following are suggested rates of passage for open-air parts of venues:</w:t>
      </w:r>
    </w:p>
    <w:p w14:paraId="21A1B27B" w14:textId="77777777" w:rsidR="00CC0E5E" w:rsidRPr="008E2ADB" w:rsidRDefault="00CC0E5E" w:rsidP="00CC0E5E">
      <w:pPr>
        <w:numPr>
          <w:ilvl w:val="0"/>
          <w:numId w:val="9"/>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on all routes within seated accommodation (including gangways and ramps) and stairways 66 people/metre/minute</w:t>
      </w:r>
    </w:p>
    <w:p w14:paraId="5348EC14" w14:textId="77777777" w:rsidR="00CC0E5E" w:rsidRPr="008E2ADB" w:rsidRDefault="00CC0E5E" w:rsidP="00CC0E5E">
      <w:pPr>
        <w:numPr>
          <w:ilvl w:val="0"/>
          <w:numId w:val="9"/>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on all routes in other parts of the event or venue (including within standing accommodation) 82 people/metre/minute.</w:t>
      </w:r>
    </w:p>
    <w:p w14:paraId="2F959B7A" w14:textId="4619746A"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 width and capacity of the escape routes required for the number of people present can be calculated by using the formula:</w:t>
      </w:r>
    </w:p>
    <w:p w14:paraId="197A537E"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Total exit width = number of people / flow rate x escape time</w:t>
      </w:r>
    </w:p>
    <w:p w14:paraId="04E1B6C9"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(i.e. Total exit width equals number of people divided by the flow rate multiplied by the escape time) </w:t>
      </w:r>
    </w:p>
    <w:p w14:paraId="622DDE5C" w14:textId="77777777" w:rsidR="00CC0E5E" w:rsidRPr="008E2ADB" w:rsidRDefault="00CC0E5E" w:rsidP="00CC0E5E">
      <w:pPr>
        <w:spacing w:after="0" w:line="240" w:lineRule="auto"/>
        <w:rPr>
          <w:rFonts w:eastAsia="Times New Roman" w:cstheme="minorHAnsi"/>
          <w:color w:val="101010"/>
          <w:sz w:val="24"/>
          <w:szCs w:val="24"/>
          <w:lang w:eastAsia="en-GB"/>
        </w:rPr>
      </w:pPr>
    </w:p>
    <w:p w14:paraId="14B8691C"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Open-air escape times</w:t>
      </w:r>
    </w:p>
    <w:p w14:paraId="01A50A0D" w14:textId="77777777" w:rsidR="00CC0E5E" w:rsidRPr="008E2ADB" w:rsidRDefault="00CC0E5E" w:rsidP="00CC0E5E">
      <w:pPr>
        <w:numPr>
          <w:ilvl w:val="0"/>
          <w:numId w:val="10"/>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Higher risk - less than 5 minutes</w:t>
      </w:r>
    </w:p>
    <w:p w14:paraId="337F5503" w14:textId="77777777" w:rsidR="00CC0E5E" w:rsidRPr="008E2ADB" w:rsidRDefault="00CC0E5E" w:rsidP="00CC0E5E">
      <w:pPr>
        <w:numPr>
          <w:ilvl w:val="0"/>
          <w:numId w:val="10"/>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Normal risk - greater than 5 minutes but less than 10 minutes</w:t>
      </w:r>
    </w:p>
    <w:p w14:paraId="36ED2816" w14:textId="77777777" w:rsidR="00CC0E5E" w:rsidRPr="008E2ADB" w:rsidRDefault="00CC0E5E" w:rsidP="00CC0E5E">
      <w:pPr>
        <w:numPr>
          <w:ilvl w:val="0"/>
          <w:numId w:val="10"/>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Lower risk - 10 minutes</w:t>
      </w:r>
    </w:p>
    <w:p w14:paraId="4327AAB9"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These escape times are recommended times from discovery of a fire to the evacuation of the area and could be varied dependant on the assessed risk.</w:t>
      </w:r>
    </w:p>
    <w:p w14:paraId="63CD4B61" w14:textId="5993EA89"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 risk to people from fire outdoors may generally be viewed as lower than that in an indoor situation, simply because people are less likely to be affected by smoke and heat, and their escape routes have less chance of being cut off.</w:t>
      </w:r>
    </w:p>
    <w:p w14:paraId="55D1AFB7" w14:textId="1A99766B"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 following example shows how to calculate exit numbers and capacities.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2"/>
      </w:tblGrid>
      <w:tr w:rsidR="00CC0E5E" w:rsidRPr="008E2ADB" w14:paraId="79C1427D" w14:textId="77777777" w:rsidTr="00CC0E5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84ED366"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Example calculation</w:t>
            </w:r>
          </w:p>
          <w:p w14:paraId="3310DAAE"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There is an audience of 5,000 ticketed people at an open air Proms in the Park type concert. The orchestra and production staff number 60 persons, there are 30 staff on the bar and catering units and 20 stewards.</w:t>
            </w:r>
          </w:p>
          <w:p w14:paraId="28A20AE5"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 audience is expected to be a family type audience, with mixed age range and low risk due to the nature of the concert.</w:t>
            </w:r>
          </w:p>
          <w:p w14:paraId="6B88CA2E"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lastRenderedPageBreak/>
              <w:t>The area is arranged with the stage to the front of the arena, with bars, catering and toilets arranged around the rear and along the sides. The arena is enclosed by a temporary fence, with ticketing adjacent to the car parks some 200 metres from the arena. Exits can be arranged in the fence line as necessary.</w:t>
            </w:r>
          </w:p>
        </w:tc>
      </w:tr>
      <w:tr w:rsidR="00CC0E5E" w:rsidRPr="008E2ADB" w14:paraId="5EA4D214" w14:textId="77777777" w:rsidTr="00CC0E5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620B850"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lastRenderedPageBreak/>
              <w:t>Step 1 Determine risk level</w:t>
            </w:r>
          </w:p>
          <w:p w14:paraId="304B9521"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Due to the nature of the event, audience profile and open air location the risk is considered to be LOW</w:t>
            </w:r>
          </w:p>
        </w:tc>
      </w:tr>
      <w:tr w:rsidR="00CC0E5E" w:rsidRPr="008E2ADB" w14:paraId="11BBA35B" w14:textId="77777777" w:rsidTr="00CC0E5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1C20DB"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 xml:space="preserve">Step 2 </w:t>
            </w:r>
            <w:proofErr w:type="spellStart"/>
            <w:r w:rsidRPr="008E2ADB">
              <w:rPr>
                <w:rFonts w:eastAsia="Times New Roman" w:cstheme="minorHAnsi"/>
                <w:b/>
                <w:bCs/>
                <w:color w:val="101010"/>
                <w:sz w:val="24"/>
                <w:szCs w:val="24"/>
                <w:lang w:eastAsia="en-GB"/>
              </w:rPr>
              <w:t>Dertermine</w:t>
            </w:r>
            <w:proofErr w:type="spellEnd"/>
            <w:r w:rsidRPr="008E2ADB">
              <w:rPr>
                <w:rFonts w:eastAsia="Times New Roman" w:cstheme="minorHAnsi"/>
                <w:b/>
                <w:bCs/>
                <w:color w:val="101010"/>
                <w:sz w:val="24"/>
                <w:szCs w:val="24"/>
                <w:lang w:eastAsia="en-GB"/>
              </w:rPr>
              <w:t xml:space="preserve"> escape time</w:t>
            </w:r>
          </w:p>
          <w:p w14:paraId="7625585B"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Low risk = 10 minutes (This is the escape time for open air. The escape time from any individual structures would have to be considered separately)</w:t>
            </w:r>
          </w:p>
        </w:tc>
      </w:tr>
      <w:tr w:rsidR="00CC0E5E" w:rsidRPr="008E2ADB" w14:paraId="2ED4DBB3" w14:textId="77777777" w:rsidTr="00CC0E5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6769D1E"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Step 3 Determine exit flow rate</w:t>
            </w:r>
          </w:p>
          <w:p w14:paraId="6F76778A"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No fixed seating, all on the flat, and in the open air = 82 persons/metre/minute</w:t>
            </w:r>
          </w:p>
        </w:tc>
      </w:tr>
      <w:tr w:rsidR="00CC0E5E" w:rsidRPr="008E2ADB" w14:paraId="06885F45" w14:textId="77777777" w:rsidTr="00CC0E5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FD3187"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Step 4 Determine occupancy</w:t>
            </w:r>
          </w:p>
          <w:p w14:paraId="2A61D72B"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Ticketed event for 5,000 audience, plus 110 staff and artistes = 5,110 persons</w:t>
            </w:r>
          </w:p>
        </w:tc>
      </w:tr>
      <w:tr w:rsidR="00CC0E5E" w:rsidRPr="008E2ADB" w14:paraId="08BC613B" w14:textId="77777777" w:rsidTr="00CC0E5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BB9AF5"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Step 5 Determine total exit width required</w:t>
            </w:r>
          </w:p>
          <w:p w14:paraId="10346806"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Total exit width required = No. of persons / flow rate x escape time</w:t>
            </w:r>
          </w:p>
          <w:p w14:paraId="45875870"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 5,110 / (82 x 10)</w:t>
            </w:r>
          </w:p>
          <w:p w14:paraId="7458AB9B"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 6.23m exit width</w:t>
            </w:r>
          </w:p>
        </w:tc>
      </w:tr>
      <w:tr w:rsidR="00CC0E5E" w:rsidRPr="008E2ADB" w14:paraId="754C5F22" w14:textId="77777777" w:rsidTr="00CC0E5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EADB17"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Step 6 Determine minimum number and size of exits required</w:t>
            </w:r>
          </w:p>
          <w:p w14:paraId="75E3E635"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 minimum width of an exit is normally required to be at least 1.05m, therefore the minimum number of exits required (1.05m wide) is 6.23m / 1.05m = 5.93 = 6 exits</w:t>
            </w:r>
          </w:p>
          <w:p w14:paraId="43036BD3"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However, it is normal to assume that the largest exit will be compromised by fire so an additional exit is added = 6 + 1 = 7 exits of 1.05m width</w:t>
            </w:r>
          </w:p>
        </w:tc>
      </w:tr>
      <w:tr w:rsidR="00CC0E5E" w:rsidRPr="008E2ADB" w14:paraId="786D75A6" w14:textId="77777777" w:rsidTr="00CC0E5E">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DEA8142" w14:textId="77777777" w:rsidR="00CC0E5E" w:rsidRPr="008E2ADB" w:rsidRDefault="00CC0E5E" w:rsidP="00CC0E5E">
            <w:pPr>
              <w:spacing w:after="0" w:line="240" w:lineRule="auto"/>
              <w:rPr>
                <w:rFonts w:eastAsia="Times New Roman" w:cstheme="minorHAnsi"/>
                <w:color w:val="101010"/>
                <w:sz w:val="24"/>
                <w:szCs w:val="24"/>
                <w:lang w:eastAsia="en-GB"/>
              </w:rPr>
            </w:pPr>
            <w:r w:rsidRPr="008E2ADB">
              <w:rPr>
                <w:rFonts w:eastAsia="Times New Roman" w:cstheme="minorHAnsi"/>
                <w:b/>
                <w:bCs/>
                <w:color w:val="101010"/>
                <w:sz w:val="24"/>
                <w:szCs w:val="24"/>
                <w:lang w:eastAsia="en-GB"/>
              </w:rPr>
              <w:t>Note:</w:t>
            </w:r>
            <w:r w:rsidRPr="008E2ADB">
              <w:rPr>
                <w:rFonts w:eastAsia="Times New Roman" w:cstheme="minorHAnsi"/>
                <w:color w:val="101010"/>
                <w:sz w:val="24"/>
                <w:szCs w:val="24"/>
                <w:lang w:eastAsia="en-GB"/>
              </w:rPr>
              <w:t xml:space="preserve"> The minimum number of exits can be reduced by increasing the individual exit widths, provided that the number of exits available (after discounting the largest) is at least two, and their aggregate width is at least 6.23m</w:t>
            </w:r>
          </w:p>
        </w:tc>
      </w:tr>
    </w:tbl>
    <w:p w14:paraId="733BC0E9" w14:textId="77777777" w:rsidR="003F136F" w:rsidRDefault="003F136F" w:rsidP="00CC0E5E">
      <w:pPr>
        <w:spacing w:after="180" w:line="240" w:lineRule="auto"/>
        <w:rPr>
          <w:rFonts w:eastAsia="Times New Roman" w:cstheme="minorHAnsi"/>
          <w:color w:val="101010"/>
          <w:sz w:val="24"/>
          <w:szCs w:val="24"/>
          <w:lang w:eastAsia="en-GB"/>
        </w:rPr>
      </w:pPr>
    </w:p>
    <w:p w14:paraId="1A4755BF" w14:textId="5664B08A"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 chance of a fire starting is increased where significant sources of ignition are likely to be present e.g. hot-food concessions, petrol generators or extensive electrical equipment. Therefore, the likelihood of people being at risk from fire is greater where a high density of structures and other installations could promote the spread of fire, or highly flammable or explosive materials are present.</w:t>
      </w:r>
    </w:p>
    <w:p w14:paraId="3DB13E5A" w14:textId="6FD58EBF"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Even where the chance of a fire starting is initially low, any fire beginning in certain areas might cause a significant risk to people e.g. from hazards such as gas cylinders.</w:t>
      </w:r>
    </w:p>
    <w:p w14:paraId="53B1E4DA" w14:textId="6ED235D0"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Where significant additional facilities such as marquees/tents, temporary structures and static or mobile concessions are likely to be found onsite, consider the risk to people from radiated heat from a fire in one of these.</w:t>
      </w:r>
    </w:p>
    <w:p w14:paraId="6AA55715" w14:textId="1167534B"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lastRenderedPageBreak/>
        <w:t>Consider the time required to move people away from the vicinity of these facilities when escaping from a fire inside. Crowded or poorly designed circulation spaces around such facilities can cause a delay to those escaping.</w:t>
      </w:r>
    </w:p>
    <w:p w14:paraId="640AC34D" w14:textId="43F318EC"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In all the above examples, fast dispersal of people to a safe distance from the fire will be necessary. The risk level in these areas might therefore be regarded as higher. Other higher-risk examples might include certain areas of larger venues and events, such as music concerts and sporting events with large numbers of people and extensive facilities, where the site is enclosed or movement is restricted for security reasons.</w:t>
      </w:r>
    </w:p>
    <w:p w14:paraId="0BF358C9" w14:textId="600FE3CF"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In areas where there is little chance of a fire or, if a fire does start, it will be detected quickly/spread slowly (e.g. because of low density of structures/ installations and lack of additional hazards), the risk might be regarded as lower. A typical example would be a small village fete accommodating limited numbers of people, predominantly in the open air, with few sources of ignition/combustible materials, and with unrestricted egress from the site.</w:t>
      </w:r>
    </w:p>
    <w:p w14:paraId="11A1DB82" w14:textId="5CA36060"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In practice, a venue or event is likely to comprise a number of different areas of risk, ranging from lower to higher. Each area will need to be assessed separately, and fire precautions planned accordingly. For example, where people can move away from a hazard with ease, the risk level might be regarded as lower than if movement away from the same hazard is restricted by fences, site layout, or other obstructions. In the majority of outdoor areas of typical venues or events, it is likely that the risk level can be regarded as normal.</w:t>
      </w:r>
    </w:p>
    <w:p w14:paraId="096EBE75"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Signage</w:t>
      </w:r>
    </w:p>
    <w:p w14:paraId="788D32C4" w14:textId="5979E801"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Signs should be used to indicate all escape routes and exits. They should comply with the Health and Safety (Safety Signs and Signals) Regulations 1996 and be suitably located to ensure that they are visible by persons making their escape. Due to the distances that may be involved within a venue, the signs should be of sufficient size to ensure that they can be easily seen and understood. They should not be obscured by other signage, scenery, drapes, etc, and should be suitably lit to be seen throughout the duration of the event. Glare and other factors should not make the signs unreadable.</w:t>
      </w:r>
    </w:p>
    <w:p w14:paraId="5BE1861B"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Lighting</w:t>
      </w:r>
    </w:p>
    <w:p w14:paraId="75E2B237" w14:textId="34C64EB9"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If the event takes place wholly in the open air during hours of daylight, lighting will not normally be required. However, consideration should be given to persons who may be on site overnight, such as security personnel.</w:t>
      </w:r>
    </w:p>
    <w:p w14:paraId="14DBE437" w14:textId="36C6D950"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 xml:space="preserve">In most cases lighting will be required to illuminate exit routes, signage, etc. This should consist of primary and emergency lighting. In some instances it may be suitable to power lighting circuits from different power sources to provide resilience. (See The Purple Guides </w:t>
      </w:r>
      <w:hyperlink r:id="rId19" w:tgtFrame="_blank" w:history="1">
        <w:r w:rsidRPr="008E2ADB">
          <w:rPr>
            <w:rFonts w:eastAsia="Times New Roman" w:cstheme="minorHAnsi"/>
            <w:color w:val="B201B3"/>
            <w:sz w:val="24"/>
            <w:szCs w:val="24"/>
            <w:lang w:eastAsia="en-GB"/>
          </w:rPr>
          <w:t>Chapter</w:t>
        </w:r>
      </w:hyperlink>
      <w:r w:rsidRPr="008E2ADB">
        <w:rPr>
          <w:rFonts w:eastAsia="Times New Roman" w:cstheme="minorHAnsi"/>
          <w:color w:val="101010"/>
          <w:sz w:val="24"/>
          <w:szCs w:val="24"/>
          <w:lang w:eastAsia="en-GB"/>
        </w:rPr>
        <w:t xml:space="preserve"> on Electrical and Lighting)</w:t>
      </w:r>
    </w:p>
    <w:p w14:paraId="52CECBC0"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Raising the alarm</w:t>
      </w:r>
    </w:p>
    <w:p w14:paraId="626B6050" w14:textId="058B9E32"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Suitable arrangements should be put in place to detect and raise the alarm of fire. In fixed venues and some larger structures this will be by way of fixed fire detection and alarm systems, whereas in smaller temporary structures and open air events other means will need to be employed, such as the provision of domestic smoke alarms, stewards etc. Automatic detection should always be provided in any structure where persons sleep, apart from individual private tents.</w:t>
      </w:r>
    </w:p>
    <w:p w14:paraId="4C5AB58D" w14:textId="58408641"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lastRenderedPageBreak/>
        <w:t xml:space="preserve">Apart from where an automatic alarm system is in place alternative arrangements for communicating the alarm to staff and the public will need to be provided. This could include means such as stewards ushering people out, air horns, or public address systems. (See The Purple Guides </w:t>
      </w:r>
      <w:hyperlink r:id="rId20" w:tgtFrame="_blank" w:history="1">
        <w:r w:rsidRPr="008E2ADB">
          <w:rPr>
            <w:rFonts w:eastAsia="Times New Roman" w:cstheme="minorHAnsi"/>
            <w:color w:val="B201B3"/>
            <w:sz w:val="24"/>
            <w:szCs w:val="24"/>
            <w:lang w:eastAsia="en-GB"/>
          </w:rPr>
          <w:t>Chapter</w:t>
        </w:r>
      </w:hyperlink>
      <w:r w:rsidRPr="008E2ADB">
        <w:rPr>
          <w:rFonts w:eastAsia="Times New Roman" w:cstheme="minorHAnsi"/>
          <w:color w:val="101010"/>
          <w:sz w:val="24"/>
          <w:szCs w:val="24"/>
          <w:lang w:eastAsia="en-GB"/>
        </w:rPr>
        <w:t xml:space="preserve"> on Communication)</w:t>
      </w:r>
    </w:p>
    <w:p w14:paraId="4EF3CFEB" w14:textId="77777777" w:rsidR="00CC0E5E" w:rsidRPr="008E2ADB" w:rsidRDefault="00CC0E5E" w:rsidP="00CC0E5E">
      <w:pPr>
        <w:spacing w:before="180" w:after="180" w:line="360" w:lineRule="atLeast"/>
        <w:outlineLvl w:val="3"/>
        <w:rPr>
          <w:rFonts w:eastAsia="Times New Roman" w:cstheme="minorHAnsi"/>
          <w:b/>
          <w:bCs/>
          <w:color w:val="101010"/>
          <w:sz w:val="24"/>
          <w:szCs w:val="24"/>
          <w:lang w:eastAsia="en-GB"/>
        </w:rPr>
      </w:pPr>
      <w:r w:rsidRPr="008E2ADB">
        <w:rPr>
          <w:rFonts w:eastAsia="Times New Roman" w:cstheme="minorHAnsi"/>
          <w:b/>
          <w:bCs/>
          <w:color w:val="101010"/>
          <w:sz w:val="24"/>
          <w:szCs w:val="24"/>
          <w:lang w:eastAsia="en-GB"/>
        </w:rPr>
        <w:t>Fighting fire</w:t>
      </w:r>
    </w:p>
    <w:p w14:paraId="7A7C4136" w14:textId="00A389D3"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Fire extinguishers should be located at identified fire points around the event site e.g. at exits to tents, stages, and on exit routes. The extinguishers supplied should be appropriate to the nature of the potential fire. They should be checked regularly to ensure that no tampering has taken place. It is good practice to have extinguishers under the control of stewards.</w:t>
      </w:r>
    </w:p>
    <w:p w14:paraId="0BDEA277" w14:textId="1CEB1E2C"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 xml:space="preserve">Where necessary, signs should be displayed to show where extinguishers are located. Staff should be trained to use extinguishers and to understand the operating instructions printed on them. This will reduce the likelihood of using the wrong extinguisher, </w:t>
      </w:r>
      <w:proofErr w:type="spellStart"/>
      <w:r w:rsidRPr="008E2ADB">
        <w:rPr>
          <w:rFonts w:eastAsia="Times New Roman" w:cstheme="minorHAnsi"/>
          <w:color w:val="101010"/>
          <w:sz w:val="24"/>
          <w:szCs w:val="24"/>
          <w:lang w:eastAsia="en-GB"/>
        </w:rPr>
        <w:t>e.g</w:t>
      </w:r>
      <w:proofErr w:type="spellEnd"/>
      <w:r w:rsidRPr="008E2ADB">
        <w:rPr>
          <w:rFonts w:eastAsia="Times New Roman" w:cstheme="minorHAnsi"/>
          <w:color w:val="101010"/>
          <w:sz w:val="24"/>
          <w:szCs w:val="24"/>
          <w:lang w:eastAsia="en-GB"/>
        </w:rPr>
        <w:t xml:space="preserve"> using a water-filled extinguisher on an electrical fire.</w:t>
      </w:r>
    </w:p>
    <w:p w14:paraId="770B6DCB" w14:textId="02F15282"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The level of provision of fire-fighting equipment, vehicles and personnel will vary due to local circumstances, and the requirements and risk at each event. In some cases, consider employing the services of a private fire contractor. The fire and rescue service may be able to advise on this.</w:t>
      </w:r>
    </w:p>
    <w:p w14:paraId="0C7FF84A" w14:textId="7EF70001"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Fire appliances should be able to access all parts of the site and to get within 45 metres of any part of any structure, including fuel storage facilities.</w:t>
      </w:r>
    </w:p>
    <w:p w14:paraId="2464E5F5" w14:textId="64C82674"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 xml:space="preserve">Off-road fire-fighting vehicles may be required to access some parts of a site. The layout of any camping area and fire lanes needs to take into account the reach of the hose reels on the fire-fighting vehicles available for the event. (See The Purple Guides </w:t>
      </w:r>
      <w:hyperlink r:id="rId21" w:tgtFrame="_blank" w:history="1">
        <w:r w:rsidRPr="008E2ADB">
          <w:rPr>
            <w:rFonts w:eastAsia="Times New Roman" w:cstheme="minorHAnsi"/>
            <w:color w:val="B201B3"/>
            <w:sz w:val="24"/>
            <w:szCs w:val="24"/>
            <w:lang w:eastAsia="en-GB"/>
          </w:rPr>
          <w:t>Chapter</w:t>
        </w:r>
      </w:hyperlink>
      <w:r w:rsidRPr="008E2ADB">
        <w:rPr>
          <w:rFonts w:eastAsia="Times New Roman" w:cstheme="minorHAnsi"/>
          <w:color w:val="101010"/>
          <w:sz w:val="24"/>
          <w:szCs w:val="24"/>
          <w:lang w:eastAsia="en-GB"/>
        </w:rPr>
        <w:t xml:space="preserve"> on Campsites)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0"/>
      </w:tblGrid>
      <w:tr w:rsidR="00CC0E5E" w:rsidRPr="008E2ADB" w14:paraId="40000DDC" w14:textId="77777777" w:rsidTr="00CC0E5E">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4DD6AEE3"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Gas safety advice</w:t>
            </w:r>
          </w:p>
        </w:tc>
      </w:tr>
      <w:tr w:rsidR="00CC0E5E" w:rsidRPr="008E2ADB" w14:paraId="17296F6D" w14:textId="77777777" w:rsidTr="00CC0E5E">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5D209121" w14:textId="77777777" w:rsidR="00CC0E5E" w:rsidRPr="008E2ADB" w:rsidRDefault="00CC0E5E" w:rsidP="00CC0E5E">
            <w:pPr>
              <w:numPr>
                <w:ilvl w:val="0"/>
                <w:numId w:val="11"/>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Supply and installation</w:t>
            </w:r>
          </w:p>
          <w:p w14:paraId="456C8185" w14:textId="77777777" w:rsidR="00CC0E5E" w:rsidRPr="008E2ADB" w:rsidRDefault="00CC0E5E" w:rsidP="00CC0E5E">
            <w:pPr>
              <w:numPr>
                <w:ilvl w:val="0"/>
                <w:numId w:val="11"/>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 xml:space="preserve">The site and structures may be supplied with gas from the mains, or liquefied petroleum gas (LPG) from fixed tanks or transportable cylinders. The main risks from the use of gas are: </w:t>
            </w:r>
          </w:p>
          <w:p w14:paraId="6EB19FAF" w14:textId="77777777" w:rsidR="00CC0E5E" w:rsidRPr="008E2ADB" w:rsidRDefault="00CC0E5E" w:rsidP="00CC0E5E">
            <w:pPr>
              <w:numPr>
                <w:ilvl w:val="1"/>
                <w:numId w:val="11"/>
              </w:numPr>
              <w:spacing w:before="100" w:beforeAutospacing="1" w:after="100" w:afterAutospacing="1" w:line="240" w:lineRule="auto"/>
              <w:ind w:left="750"/>
              <w:rPr>
                <w:rFonts w:eastAsia="Times New Roman" w:cstheme="minorHAnsi"/>
                <w:color w:val="101010"/>
                <w:sz w:val="24"/>
                <w:szCs w:val="24"/>
                <w:lang w:eastAsia="en-GB"/>
              </w:rPr>
            </w:pPr>
            <w:r w:rsidRPr="008E2ADB">
              <w:rPr>
                <w:rFonts w:eastAsia="Times New Roman" w:cstheme="minorHAnsi"/>
                <w:color w:val="101010"/>
                <w:sz w:val="24"/>
                <w:szCs w:val="24"/>
                <w:lang w:eastAsia="en-GB"/>
              </w:rPr>
              <w:t>accidental release, which can lead to fire, explosion, or asphyxiation</w:t>
            </w:r>
          </w:p>
          <w:p w14:paraId="2F47EAA5" w14:textId="77777777" w:rsidR="00CC0E5E" w:rsidRPr="008E2ADB" w:rsidRDefault="00CC0E5E" w:rsidP="00CC0E5E">
            <w:pPr>
              <w:numPr>
                <w:ilvl w:val="1"/>
                <w:numId w:val="11"/>
              </w:numPr>
              <w:spacing w:before="100" w:beforeAutospacing="1" w:after="100" w:afterAutospacing="1" w:line="240" w:lineRule="auto"/>
              <w:ind w:left="750"/>
              <w:rPr>
                <w:rFonts w:eastAsia="Times New Roman" w:cstheme="minorHAnsi"/>
                <w:color w:val="101010"/>
                <w:sz w:val="24"/>
                <w:szCs w:val="24"/>
                <w:lang w:eastAsia="en-GB"/>
              </w:rPr>
            </w:pPr>
            <w:r w:rsidRPr="008E2ADB">
              <w:rPr>
                <w:rFonts w:eastAsia="Times New Roman" w:cstheme="minorHAnsi"/>
                <w:color w:val="101010"/>
                <w:sz w:val="24"/>
                <w:szCs w:val="24"/>
                <w:lang w:eastAsia="en-GB"/>
              </w:rPr>
              <w:t>build-up of fume/poisonous products, e.g. carbon monoxide</w:t>
            </w:r>
          </w:p>
          <w:p w14:paraId="75018F55" w14:textId="77777777" w:rsidR="00CC0E5E" w:rsidRPr="008E2ADB" w:rsidRDefault="00CC0E5E" w:rsidP="00CC0E5E">
            <w:pPr>
              <w:numPr>
                <w:ilvl w:val="0"/>
                <w:numId w:val="11"/>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 xml:space="preserve">Appliances, including catering equipment and gas-powered generators, must be installed, maintained, and certified by </w:t>
            </w:r>
            <w:hyperlink r:id="rId22" w:tgtFrame="_blank" w:history="1">
              <w:r w:rsidRPr="008E2ADB">
                <w:rPr>
                  <w:rFonts w:eastAsia="Times New Roman" w:cstheme="minorHAnsi"/>
                  <w:color w:val="B201B3"/>
                  <w:sz w:val="24"/>
                  <w:szCs w:val="24"/>
                  <w:lang w:eastAsia="en-GB"/>
                </w:rPr>
                <w:t>Gas Safe Registered</w:t>
              </w:r>
            </w:hyperlink>
            <w:r w:rsidRPr="008E2ADB">
              <w:rPr>
                <w:rFonts w:eastAsia="Times New Roman" w:cstheme="minorHAnsi"/>
                <w:color w:val="101010"/>
                <w:sz w:val="24"/>
                <w:szCs w:val="24"/>
                <w:lang w:eastAsia="en-GB"/>
              </w:rPr>
              <w:t xml:space="preserve"> gas fitters</w:t>
            </w:r>
          </w:p>
          <w:p w14:paraId="57E4B673" w14:textId="77777777" w:rsidR="00CC0E5E" w:rsidRPr="008E2ADB" w:rsidRDefault="00CC0E5E" w:rsidP="00CC0E5E">
            <w:pPr>
              <w:numPr>
                <w:ilvl w:val="0"/>
                <w:numId w:val="11"/>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Every gas installation must be properly installed and regularly maintained so that:</w:t>
            </w:r>
          </w:p>
          <w:p w14:paraId="7C383C4E" w14:textId="77777777" w:rsidR="00CC0E5E" w:rsidRPr="008E2ADB" w:rsidRDefault="00CC0E5E" w:rsidP="00CC0E5E">
            <w:pPr>
              <w:numPr>
                <w:ilvl w:val="0"/>
                <w:numId w:val="11"/>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gas is efficiently burned to prevent the production of carbon monoxide</w:t>
            </w:r>
          </w:p>
          <w:p w14:paraId="146E7712" w14:textId="77777777" w:rsidR="00CC0E5E" w:rsidRPr="008E2ADB" w:rsidRDefault="00CC0E5E" w:rsidP="00CC0E5E">
            <w:pPr>
              <w:numPr>
                <w:ilvl w:val="0"/>
                <w:numId w:val="11"/>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there is good general and fixed ventilation for the appliance</w:t>
            </w:r>
          </w:p>
          <w:p w14:paraId="6CDAB565" w14:textId="77777777" w:rsidR="00CC0E5E" w:rsidRPr="008E2ADB" w:rsidRDefault="00CC0E5E" w:rsidP="00CC0E5E">
            <w:pPr>
              <w:numPr>
                <w:ilvl w:val="0"/>
                <w:numId w:val="11"/>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combustion products are safely dispersed to the open air</w:t>
            </w:r>
          </w:p>
          <w:p w14:paraId="1D6DC4F3" w14:textId="77777777" w:rsidR="00CC0E5E" w:rsidRPr="008E2ADB" w:rsidRDefault="00CC0E5E" w:rsidP="00CC0E5E">
            <w:pPr>
              <w:numPr>
                <w:ilvl w:val="0"/>
                <w:numId w:val="11"/>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flues, if fitted, are properly installed and free from leaks and obstructions</w:t>
            </w:r>
          </w:p>
        </w:tc>
      </w:tr>
      <w:tr w:rsidR="00CC0E5E" w:rsidRPr="008E2ADB" w14:paraId="4AE1242D" w14:textId="77777777" w:rsidTr="00CC0E5E">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2BA47793"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t>Storing LPG</w:t>
            </w:r>
          </w:p>
          <w:p w14:paraId="5F8C071C" w14:textId="77777777" w:rsidR="00CC0E5E" w:rsidRPr="008E2ADB" w:rsidRDefault="00CC0E5E" w:rsidP="00CC0E5E">
            <w:pPr>
              <w:numPr>
                <w:ilvl w:val="0"/>
                <w:numId w:val="12"/>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 xml:space="preserve">Arrange your LPG storage to prevent two main risks: </w:t>
            </w:r>
          </w:p>
          <w:p w14:paraId="19F9ACAB" w14:textId="77777777" w:rsidR="00CC0E5E" w:rsidRPr="008E2ADB" w:rsidRDefault="00CC0E5E" w:rsidP="00CC0E5E">
            <w:pPr>
              <w:numPr>
                <w:ilvl w:val="1"/>
                <w:numId w:val="12"/>
              </w:numPr>
              <w:spacing w:before="100" w:beforeAutospacing="1" w:after="100" w:afterAutospacing="1" w:line="240" w:lineRule="auto"/>
              <w:ind w:left="750"/>
              <w:rPr>
                <w:rFonts w:eastAsia="Times New Roman" w:cstheme="minorHAnsi"/>
                <w:color w:val="101010"/>
                <w:sz w:val="24"/>
                <w:szCs w:val="24"/>
                <w:lang w:eastAsia="en-GB"/>
              </w:rPr>
            </w:pPr>
            <w:r w:rsidRPr="008E2ADB">
              <w:rPr>
                <w:rFonts w:eastAsia="Times New Roman" w:cstheme="minorHAnsi"/>
                <w:color w:val="101010"/>
                <w:sz w:val="24"/>
                <w:szCs w:val="24"/>
                <w:lang w:eastAsia="en-GB"/>
              </w:rPr>
              <w:t>leakage followed by ignition. Leaks could arise from damage to the vessel or its associated pipework</w:t>
            </w:r>
          </w:p>
          <w:p w14:paraId="1A61DA64" w14:textId="77777777" w:rsidR="00CC0E5E" w:rsidRPr="008E2ADB" w:rsidRDefault="00CC0E5E" w:rsidP="00CC0E5E">
            <w:pPr>
              <w:numPr>
                <w:ilvl w:val="1"/>
                <w:numId w:val="12"/>
              </w:numPr>
              <w:spacing w:before="100" w:beforeAutospacing="1" w:after="100" w:afterAutospacing="1" w:line="240" w:lineRule="auto"/>
              <w:ind w:left="750"/>
              <w:rPr>
                <w:rFonts w:eastAsia="Times New Roman" w:cstheme="minorHAnsi"/>
                <w:color w:val="101010"/>
                <w:sz w:val="24"/>
                <w:szCs w:val="24"/>
                <w:lang w:eastAsia="en-GB"/>
              </w:rPr>
            </w:pPr>
            <w:r w:rsidRPr="008E2ADB">
              <w:rPr>
                <w:rFonts w:eastAsia="Times New Roman" w:cstheme="minorHAnsi"/>
                <w:color w:val="101010"/>
                <w:sz w:val="24"/>
                <w:szCs w:val="24"/>
                <w:lang w:eastAsia="en-GB"/>
              </w:rPr>
              <w:t>direct heat on a vessel. The most likely source is a fire close to the vessel, so it is important to keep other combustible materials well away</w:t>
            </w:r>
          </w:p>
          <w:p w14:paraId="3703DFA2" w14:textId="77777777" w:rsidR="00CC0E5E" w:rsidRPr="008E2ADB" w:rsidRDefault="00CC0E5E" w:rsidP="00CC0E5E">
            <w:pPr>
              <w:numPr>
                <w:ilvl w:val="0"/>
                <w:numId w:val="12"/>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lastRenderedPageBreak/>
              <w:t xml:space="preserve">The </w:t>
            </w:r>
            <w:hyperlink r:id="rId23" w:tgtFrame="_blank" w:history="1">
              <w:r w:rsidRPr="008E2ADB">
                <w:rPr>
                  <w:rFonts w:eastAsia="Times New Roman" w:cstheme="minorHAnsi"/>
                  <w:color w:val="B201B3"/>
                  <w:sz w:val="24"/>
                  <w:szCs w:val="24"/>
                  <w:lang w:eastAsia="en-GB"/>
                </w:rPr>
                <w:t>trade association for the LP Gas industry in the UK</w:t>
              </w:r>
            </w:hyperlink>
            <w:r w:rsidRPr="008E2ADB">
              <w:rPr>
                <w:rFonts w:eastAsia="Times New Roman" w:cstheme="minorHAnsi"/>
                <w:color w:val="101010"/>
                <w:sz w:val="24"/>
                <w:szCs w:val="24"/>
                <w:lang w:eastAsia="en-GB"/>
              </w:rPr>
              <w:t xml:space="preserve"> (</w:t>
            </w:r>
            <w:proofErr w:type="spellStart"/>
            <w:r w:rsidRPr="008E2ADB">
              <w:rPr>
                <w:rFonts w:eastAsia="Times New Roman" w:cstheme="minorHAnsi"/>
                <w:color w:val="101010"/>
                <w:sz w:val="24"/>
                <w:szCs w:val="24"/>
                <w:lang w:eastAsia="en-GB"/>
              </w:rPr>
              <w:t>UKLPG</w:t>
            </w:r>
            <w:proofErr w:type="spellEnd"/>
            <w:r w:rsidRPr="008E2ADB">
              <w:rPr>
                <w:rFonts w:eastAsia="Times New Roman" w:cstheme="minorHAnsi"/>
                <w:color w:val="101010"/>
                <w:sz w:val="24"/>
                <w:szCs w:val="24"/>
                <w:lang w:eastAsia="en-GB"/>
              </w:rPr>
              <w:t>) and the Nationwide Caterers Association (</w:t>
            </w:r>
            <w:proofErr w:type="spellStart"/>
            <w:r w:rsidRPr="008E2ADB">
              <w:rPr>
                <w:rFonts w:eastAsia="Times New Roman" w:cstheme="minorHAnsi"/>
                <w:color w:val="101010"/>
                <w:sz w:val="24"/>
                <w:szCs w:val="24"/>
                <w:lang w:eastAsia="en-GB"/>
              </w:rPr>
              <w:t>NCASS</w:t>
            </w:r>
            <w:proofErr w:type="spellEnd"/>
            <w:r w:rsidRPr="008E2ADB">
              <w:rPr>
                <w:rFonts w:eastAsia="Times New Roman" w:cstheme="minorHAnsi"/>
                <w:color w:val="101010"/>
                <w:sz w:val="24"/>
                <w:szCs w:val="24"/>
                <w:lang w:eastAsia="en-GB"/>
              </w:rPr>
              <w:t>) have produced various useful codes of practice on LPG</w:t>
            </w:r>
          </w:p>
          <w:p w14:paraId="2AA71143" w14:textId="77777777" w:rsidR="00CC0E5E" w:rsidRPr="008E2ADB" w:rsidRDefault="00CC0E5E" w:rsidP="00CC0E5E">
            <w:pPr>
              <w:numPr>
                <w:ilvl w:val="0"/>
                <w:numId w:val="12"/>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 xml:space="preserve">HSE Guidance </w:t>
            </w:r>
            <w:hyperlink r:id="rId24" w:tgtFrame="_blank" w:history="1">
              <w:r w:rsidRPr="008E2ADB">
                <w:rPr>
                  <w:rFonts w:eastAsia="Times New Roman" w:cstheme="minorHAnsi"/>
                  <w:color w:val="B201B3"/>
                  <w:sz w:val="24"/>
                  <w:szCs w:val="24"/>
                  <w:lang w:eastAsia="en-GB"/>
                </w:rPr>
                <w:t>Chemical Sheet 5: Small-scale use of LPG in cylinders</w:t>
              </w:r>
            </w:hyperlink>
            <w:r w:rsidRPr="008E2ADB">
              <w:rPr>
                <w:rFonts w:eastAsia="Times New Roman" w:cstheme="minorHAnsi"/>
                <w:color w:val="101010"/>
                <w:sz w:val="24"/>
                <w:szCs w:val="24"/>
                <w:lang w:eastAsia="en-GB"/>
              </w:rPr>
              <w:t xml:space="preserve"> also gives details on storage requirements when not in use. The recommendations apply equally to empty cylinders as to full ones because they can still contain significant amounts of gas. Remember to store cylinders: </w:t>
            </w:r>
          </w:p>
          <w:p w14:paraId="664DEEC9" w14:textId="77777777" w:rsidR="00CC0E5E" w:rsidRPr="008E2ADB" w:rsidRDefault="00CC0E5E" w:rsidP="00CC0E5E">
            <w:pPr>
              <w:numPr>
                <w:ilvl w:val="1"/>
                <w:numId w:val="12"/>
              </w:numPr>
              <w:spacing w:before="100" w:beforeAutospacing="1" w:after="100" w:afterAutospacing="1" w:line="240" w:lineRule="auto"/>
              <w:ind w:left="750"/>
              <w:rPr>
                <w:rFonts w:eastAsia="Times New Roman" w:cstheme="minorHAnsi"/>
                <w:color w:val="101010"/>
                <w:sz w:val="24"/>
                <w:szCs w:val="24"/>
                <w:lang w:eastAsia="en-GB"/>
              </w:rPr>
            </w:pPr>
            <w:r w:rsidRPr="008E2ADB">
              <w:rPr>
                <w:rFonts w:eastAsia="Times New Roman" w:cstheme="minorHAnsi"/>
                <w:color w:val="101010"/>
                <w:sz w:val="24"/>
                <w:szCs w:val="24"/>
                <w:lang w:eastAsia="en-GB"/>
              </w:rPr>
              <w:t>in a well-ventilated position outdoors on firm, level ground at least 1 metre from buildings or boundaries, 2 metres from any building openings, drains or gullies, and 3 metres from other combustible, corrosive or oxidising materials</w:t>
            </w:r>
          </w:p>
          <w:p w14:paraId="56CE7EBE" w14:textId="77777777" w:rsidR="00CC0E5E" w:rsidRPr="008E2ADB" w:rsidRDefault="00CC0E5E" w:rsidP="00CC0E5E">
            <w:pPr>
              <w:numPr>
                <w:ilvl w:val="0"/>
                <w:numId w:val="12"/>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in an upright position</w:t>
            </w:r>
          </w:p>
        </w:tc>
      </w:tr>
      <w:tr w:rsidR="00CC0E5E" w:rsidRPr="008E2ADB" w14:paraId="00161CF9" w14:textId="77777777" w:rsidTr="00CC0E5E">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3A35B46E" w14:textId="77777777" w:rsidR="00CC0E5E" w:rsidRPr="008E2ADB" w:rsidRDefault="00CC0E5E" w:rsidP="00CC0E5E">
            <w:pPr>
              <w:spacing w:after="180" w:line="240" w:lineRule="auto"/>
              <w:rPr>
                <w:rFonts w:eastAsia="Times New Roman" w:cstheme="minorHAnsi"/>
                <w:color w:val="101010"/>
                <w:sz w:val="24"/>
                <w:szCs w:val="24"/>
                <w:lang w:eastAsia="en-GB"/>
              </w:rPr>
            </w:pPr>
            <w:r w:rsidRPr="008E2ADB">
              <w:rPr>
                <w:rFonts w:eastAsia="Times New Roman" w:cstheme="minorHAnsi"/>
                <w:color w:val="101010"/>
                <w:sz w:val="24"/>
                <w:szCs w:val="24"/>
                <w:lang w:eastAsia="en-GB"/>
              </w:rPr>
              <w:lastRenderedPageBreak/>
              <w:t>Using LPG</w:t>
            </w:r>
          </w:p>
          <w:p w14:paraId="3957B0E2" w14:textId="77777777" w:rsidR="00CC0E5E" w:rsidRPr="008E2ADB" w:rsidRDefault="00CC0E5E" w:rsidP="00CC0E5E">
            <w:pPr>
              <w:numPr>
                <w:ilvl w:val="0"/>
                <w:numId w:val="13"/>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When in use, site LPG cylinders outside in a well-ventilated position on firm, level ground against the wall of a building or structure, secured in the upright position. This does not apply to cabinet heaters, which are designed to be used indoors and have the cylinder inside the appliance</w:t>
            </w:r>
          </w:p>
          <w:p w14:paraId="7429AE88" w14:textId="77777777" w:rsidR="00CC0E5E" w:rsidRPr="008E2ADB" w:rsidRDefault="00CC0E5E" w:rsidP="00CC0E5E">
            <w:pPr>
              <w:numPr>
                <w:ilvl w:val="0"/>
                <w:numId w:val="13"/>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Any cylinder should be at least 2 metres from any openings to cellars or drains and the valve at least 1 metre horizontally and 0.3 metre vertically below any wall openings, e.g. opening windows</w:t>
            </w:r>
          </w:p>
          <w:p w14:paraId="7E198ED7" w14:textId="77777777" w:rsidR="00CC0E5E" w:rsidRPr="008E2ADB" w:rsidRDefault="00CC0E5E" w:rsidP="00CC0E5E">
            <w:pPr>
              <w:numPr>
                <w:ilvl w:val="0"/>
                <w:numId w:val="13"/>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Protect the cylinders from damage and interference and make sure that there is ready access to the valves in an emergency</w:t>
            </w:r>
          </w:p>
          <w:p w14:paraId="3589BCA0" w14:textId="77777777" w:rsidR="00CC0E5E" w:rsidRPr="008E2ADB" w:rsidRDefault="00CC0E5E" w:rsidP="00CC0E5E">
            <w:pPr>
              <w:numPr>
                <w:ilvl w:val="0"/>
                <w:numId w:val="13"/>
              </w:numPr>
              <w:spacing w:before="100" w:beforeAutospacing="1" w:after="100" w:afterAutospacing="1" w:line="240" w:lineRule="auto"/>
              <w:ind w:left="375"/>
              <w:rPr>
                <w:rFonts w:eastAsia="Times New Roman" w:cstheme="minorHAnsi"/>
                <w:color w:val="101010"/>
                <w:sz w:val="24"/>
                <w:szCs w:val="24"/>
                <w:lang w:eastAsia="en-GB"/>
              </w:rPr>
            </w:pPr>
            <w:r w:rsidRPr="008E2ADB">
              <w:rPr>
                <w:rFonts w:eastAsia="Times New Roman" w:cstheme="minorHAnsi"/>
                <w:color w:val="101010"/>
                <w:sz w:val="24"/>
                <w:szCs w:val="24"/>
                <w:lang w:eastAsia="en-GB"/>
              </w:rPr>
              <w:t>Always change cylinders in a well-ventilated area and make sure that there are no naked flames or other sources of ignition nearby while doing so</w:t>
            </w:r>
          </w:p>
        </w:tc>
      </w:tr>
    </w:tbl>
    <w:p w14:paraId="6B621D93" w14:textId="77777777" w:rsidR="002644D8" w:rsidRPr="008E2ADB" w:rsidRDefault="00D83EC7">
      <w:pPr>
        <w:rPr>
          <w:rFonts w:cstheme="minorHAnsi"/>
          <w:sz w:val="24"/>
          <w:szCs w:val="24"/>
        </w:rPr>
      </w:pPr>
    </w:p>
    <w:sectPr w:rsidR="002644D8" w:rsidRPr="008E2ADB" w:rsidSect="00373D44">
      <w:footerReference w:type="default" r:id="rId2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A8900" w14:textId="77777777" w:rsidR="00D83AD2" w:rsidRDefault="00D83AD2" w:rsidP="00CC0E5E">
      <w:pPr>
        <w:spacing w:after="0" w:line="240" w:lineRule="auto"/>
      </w:pPr>
      <w:r>
        <w:separator/>
      </w:r>
    </w:p>
  </w:endnote>
  <w:endnote w:type="continuationSeparator" w:id="0">
    <w:p w14:paraId="7821E2C9" w14:textId="77777777" w:rsidR="00D83AD2" w:rsidRDefault="00D83AD2" w:rsidP="00CC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T Sans">
    <w:altName w:val="Arial"/>
    <w:charset w:val="00"/>
    <w:family w:val="auto"/>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602165"/>
      <w:docPartObj>
        <w:docPartGallery w:val="Page Numbers (Bottom of Page)"/>
        <w:docPartUnique/>
      </w:docPartObj>
    </w:sdtPr>
    <w:sdtEndPr>
      <w:rPr>
        <w:noProof/>
      </w:rPr>
    </w:sdtEndPr>
    <w:sdtContent>
      <w:p w14:paraId="1EE071B9" w14:textId="0F7DE1FB" w:rsidR="00F56245" w:rsidRDefault="00F56245" w:rsidP="00F56245">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DCB02EE" w14:textId="77777777" w:rsidR="00ED39ED" w:rsidRDefault="00ED3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DC4C3" w14:textId="77777777" w:rsidR="00D83AD2" w:rsidRDefault="00D83AD2" w:rsidP="00CC0E5E">
      <w:pPr>
        <w:spacing w:after="0" w:line="240" w:lineRule="auto"/>
      </w:pPr>
      <w:r>
        <w:separator/>
      </w:r>
    </w:p>
  </w:footnote>
  <w:footnote w:type="continuationSeparator" w:id="0">
    <w:p w14:paraId="319E16D2" w14:textId="77777777" w:rsidR="00D83AD2" w:rsidRDefault="00D83AD2" w:rsidP="00CC0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D1A69"/>
    <w:multiLevelType w:val="multilevel"/>
    <w:tmpl w:val="B64C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EE2DC2"/>
    <w:multiLevelType w:val="multilevel"/>
    <w:tmpl w:val="5152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D1FAE"/>
    <w:multiLevelType w:val="multilevel"/>
    <w:tmpl w:val="F904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C0AC7"/>
    <w:multiLevelType w:val="multilevel"/>
    <w:tmpl w:val="5F26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44ADE"/>
    <w:multiLevelType w:val="multilevel"/>
    <w:tmpl w:val="BB0EA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46064"/>
    <w:multiLevelType w:val="multilevel"/>
    <w:tmpl w:val="5BE0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942E64"/>
    <w:multiLevelType w:val="multilevel"/>
    <w:tmpl w:val="B8BE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119C3"/>
    <w:multiLevelType w:val="multilevel"/>
    <w:tmpl w:val="2264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60FD6"/>
    <w:multiLevelType w:val="multilevel"/>
    <w:tmpl w:val="6AFA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337703"/>
    <w:multiLevelType w:val="multilevel"/>
    <w:tmpl w:val="0C5C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F2422"/>
    <w:multiLevelType w:val="multilevel"/>
    <w:tmpl w:val="B16C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C1503"/>
    <w:multiLevelType w:val="multilevel"/>
    <w:tmpl w:val="ABD0F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F3842"/>
    <w:multiLevelType w:val="multilevel"/>
    <w:tmpl w:val="00FC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6"/>
  </w:num>
  <w:num w:numId="4">
    <w:abstractNumId w:val="7"/>
  </w:num>
  <w:num w:numId="5">
    <w:abstractNumId w:val="9"/>
  </w:num>
  <w:num w:numId="6">
    <w:abstractNumId w:val="2"/>
  </w:num>
  <w:num w:numId="7">
    <w:abstractNumId w:val="13"/>
  </w:num>
  <w:num w:numId="8">
    <w:abstractNumId w:val="4"/>
  </w:num>
  <w:num w:numId="9">
    <w:abstractNumId w:val="0"/>
  </w:num>
  <w:num w:numId="10">
    <w:abstractNumId w:val="3"/>
  </w:num>
  <w:num w:numId="11">
    <w:abstractNumId w:val="5"/>
  </w:num>
  <w:num w:numId="12">
    <w:abstractNumId w:val="12"/>
  </w:num>
  <w:num w:numId="13">
    <w:abstractNumId w:val="8"/>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C0"/>
    <w:rsid w:val="000E3517"/>
    <w:rsid w:val="002F3951"/>
    <w:rsid w:val="003041F6"/>
    <w:rsid w:val="00373D44"/>
    <w:rsid w:val="003F136F"/>
    <w:rsid w:val="00412D0A"/>
    <w:rsid w:val="004863B9"/>
    <w:rsid w:val="00496628"/>
    <w:rsid w:val="004E05F2"/>
    <w:rsid w:val="004E0B05"/>
    <w:rsid w:val="00516525"/>
    <w:rsid w:val="0052116B"/>
    <w:rsid w:val="005844A2"/>
    <w:rsid w:val="005C7EC1"/>
    <w:rsid w:val="005F1B36"/>
    <w:rsid w:val="0074172F"/>
    <w:rsid w:val="0075609E"/>
    <w:rsid w:val="0084625F"/>
    <w:rsid w:val="00870947"/>
    <w:rsid w:val="008D6419"/>
    <w:rsid w:val="008E2ADB"/>
    <w:rsid w:val="008F4D3A"/>
    <w:rsid w:val="009A7317"/>
    <w:rsid w:val="00A87FA6"/>
    <w:rsid w:val="00A972E9"/>
    <w:rsid w:val="00BF24A1"/>
    <w:rsid w:val="00C87E09"/>
    <w:rsid w:val="00CC0E5E"/>
    <w:rsid w:val="00D24FE4"/>
    <w:rsid w:val="00D262D2"/>
    <w:rsid w:val="00D83AD2"/>
    <w:rsid w:val="00D83EC7"/>
    <w:rsid w:val="00DA518D"/>
    <w:rsid w:val="00E26C91"/>
    <w:rsid w:val="00E523AC"/>
    <w:rsid w:val="00E94AB1"/>
    <w:rsid w:val="00EA1660"/>
    <w:rsid w:val="00ED39ED"/>
    <w:rsid w:val="00F06A0C"/>
    <w:rsid w:val="00F157C0"/>
    <w:rsid w:val="00F2182A"/>
    <w:rsid w:val="00F3037E"/>
    <w:rsid w:val="00F56245"/>
    <w:rsid w:val="00F6507B"/>
    <w:rsid w:val="00FA6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09EBA7"/>
  <w15:chartTrackingRefBased/>
  <w15:docId w15:val="{C140EF22-62E6-4FBC-AE3E-FFFD27D4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947"/>
  </w:style>
  <w:style w:type="paragraph" w:styleId="Heading1">
    <w:name w:val="heading 1"/>
    <w:basedOn w:val="Normal"/>
    <w:next w:val="Normal"/>
    <w:link w:val="Heading1Char"/>
    <w:uiPriority w:val="9"/>
    <w:qFormat/>
    <w:rsid w:val="007417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417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417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4172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172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4172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4172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417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17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4172F"/>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CC0E5E"/>
    <w:rPr>
      <w:strike w:val="0"/>
      <w:dstrike w:val="0"/>
      <w:color w:val="B201B3"/>
      <w:u w:val="none"/>
      <w:effect w:val="none"/>
    </w:rPr>
  </w:style>
  <w:style w:type="character" w:styleId="Strong">
    <w:name w:val="Strong"/>
    <w:basedOn w:val="DefaultParagraphFont"/>
    <w:uiPriority w:val="22"/>
    <w:qFormat/>
    <w:rsid w:val="0074172F"/>
    <w:rPr>
      <w:b/>
      <w:bCs/>
    </w:rPr>
  </w:style>
  <w:style w:type="paragraph" w:styleId="NormalWeb">
    <w:name w:val="Normal (Web)"/>
    <w:basedOn w:val="Normal"/>
    <w:uiPriority w:val="99"/>
    <w:semiHidden/>
    <w:unhideWhenUsed/>
    <w:rsid w:val="00CC0E5E"/>
    <w:pPr>
      <w:spacing w:after="180" w:line="240" w:lineRule="auto"/>
    </w:pPr>
    <w:rPr>
      <w:rFonts w:ascii="Times New Roman" w:eastAsia="Times New Roman" w:hAnsi="Times New Roman" w:cs="Times New Roman"/>
      <w:sz w:val="24"/>
      <w:szCs w:val="24"/>
      <w:lang w:eastAsia="en-GB"/>
    </w:rPr>
  </w:style>
  <w:style w:type="paragraph" w:customStyle="1" w:styleId="print-icon">
    <w:name w:val="print-icon"/>
    <w:basedOn w:val="Normal"/>
    <w:rsid w:val="00CC0E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mail-icon">
    <w:name w:val="email-icon"/>
    <w:basedOn w:val="Normal"/>
    <w:rsid w:val="00CC0E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clink">
    <w:name w:val="toclink"/>
    <w:basedOn w:val="Normal"/>
    <w:rsid w:val="00CC0E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417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417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4172F"/>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74172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4172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4172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417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172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74172F"/>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417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72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4172F"/>
    <w:rPr>
      <w:rFonts w:eastAsiaTheme="minorEastAsia"/>
      <w:color w:val="5A5A5A" w:themeColor="text1" w:themeTint="A5"/>
      <w:spacing w:val="15"/>
    </w:rPr>
  </w:style>
  <w:style w:type="character" w:styleId="Emphasis">
    <w:name w:val="Emphasis"/>
    <w:basedOn w:val="DefaultParagraphFont"/>
    <w:uiPriority w:val="20"/>
    <w:qFormat/>
    <w:rsid w:val="0074172F"/>
    <w:rPr>
      <w:i/>
      <w:iCs/>
    </w:rPr>
  </w:style>
  <w:style w:type="paragraph" w:styleId="NoSpacing">
    <w:name w:val="No Spacing"/>
    <w:uiPriority w:val="1"/>
    <w:qFormat/>
    <w:rsid w:val="0074172F"/>
    <w:pPr>
      <w:spacing w:after="0" w:line="240" w:lineRule="auto"/>
    </w:pPr>
  </w:style>
  <w:style w:type="paragraph" w:styleId="Quote">
    <w:name w:val="Quote"/>
    <w:basedOn w:val="Normal"/>
    <w:next w:val="Normal"/>
    <w:link w:val="QuoteChar"/>
    <w:uiPriority w:val="29"/>
    <w:qFormat/>
    <w:rsid w:val="0074172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4172F"/>
    <w:rPr>
      <w:i/>
      <w:iCs/>
      <w:color w:val="404040" w:themeColor="text1" w:themeTint="BF"/>
    </w:rPr>
  </w:style>
  <w:style w:type="paragraph" w:styleId="IntenseQuote">
    <w:name w:val="Intense Quote"/>
    <w:basedOn w:val="Normal"/>
    <w:next w:val="Normal"/>
    <w:link w:val="IntenseQuoteChar"/>
    <w:uiPriority w:val="30"/>
    <w:qFormat/>
    <w:rsid w:val="0074172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4172F"/>
    <w:rPr>
      <w:i/>
      <w:iCs/>
      <w:color w:val="4472C4" w:themeColor="accent1"/>
    </w:rPr>
  </w:style>
  <w:style w:type="character" w:styleId="SubtleEmphasis">
    <w:name w:val="Subtle Emphasis"/>
    <w:basedOn w:val="DefaultParagraphFont"/>
    <w:uiPriority w:val="19"/>
    <w:qFormat/>
    <w:rsid w:val="0074172F"/>
    <w:rPr>
      <w:i/>
      <w:iCs/>
      <w:color w:val="404040" w:themeColor="text1" w:themeTint="BF"/>
    </w:rPr>
  </w:style>
  <w:style w:type="character" w:styleId="IntenseEmphasis">
    <w:name w:val="Intense Emphasis"/>
    <w:basedOn w:val="DefaultParagraphFont"/>
    <w:uiPriority w:val="21"/>
    <w:qFormat/>
    <w:rsid w:val="0074172F"/>
    <w:rPr>
      <w:i/>
      <w:iCs/>
      <w:color w:val="4472C4" w:themeColor="accent1"/>
    </w:rPr>
  </w:style>
  <w:style w:type="character" w:styleId="SubtleReference">
    <w:name w:val="Subtle Reference"/>
    <w:basedOn w:val="DefaultParagraphFont"/>
    <w:uiPriority w:val="31"/>
    <w:qFormat/>
    <w:rsid w:val="0074172F"/>
    <w:rPr>
      <w:smallCaps/>
      <w:color w:val="5A5A5A" w:themeColor="text1" w:themeTint="A5"/>
    </w:rPr>
  </w:style>
  <w:style w:type="character" w:styleId="IntenseReference">
    <w:name w:val="Intense Reference"/>
    <w:basedOn w:val="DefaultParagraphFont"/>
    <w:uiPriority w:val="32"/>
    <w:qFormat/>
    <w:rsid w:val="0074172F"/>
    <w:rPr>
      <w:b/>
      <w:bCs/>
      <w:smallCaps/>
      <w:color w:val="4472C4" w:themeColor="accent1"/>
      <w:spacing w:val="5"/>
    </w:rPr>
  </w:style>
  <w:style w:type="character" w:styleId="BookTitle">
    <w:name w:val="Book Title"/>
    <w:basedOn w:val="DefaultParagraphFont"/>
    <w:uiPriority w:val="33"/>
    <w:qFormat/>
    <w:rsid w:val="0074172F"/>
    <w:rPr>
      <w:b/>
      <w:bCs/>
      <w:i/>
      <w:iCs/>
      <w:spacing w:val="5"/>
    </w:rPr>
  </w:style>
  <w:style w:type="paragraph" w:styleId="TOCHeading">
    <w:name w:val="TOC Heading"/>
    <w:basedOn w:val="Heading1"/>
    <w:next w:val="Normal"/>
    <w:uiPriority w:val="39"/>
    <w:semiHidden/>
    <w:unhideWhenUsed/>
    <w:qFormat/>
    <w:rsid w:val="0074172F"/>
    <w:pPr>
      <w:outlineLvl w:val="9"/>
    </w:pPr>
  </w:style>
  <w:style w:type="paragraph" w:styleId="Header">
    <w:name w:val="header"/>
    <w:basedOn w:val="Normal"/>
    <w:link w:val="HeaderChar"/>
    <w:uiPriority w:val="99"/>
    <w:unhideWhenUsed/>
    <w:rsid w:val="00ED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9ED"/>
  </w:style>
  <w:style w:type="paragraph" w:styleId="Footer">
    <w:name w:val="footer"/>
    <w:basedOn w:val="Normal"/>
    <w:link w:val="FooterChar"/>
    <w:uiPriority w:val="99"/>
    <w:unhideWhenUsed/>
    <w:rsid w:val="00ED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502984">
      <w:bodyDiv w:val="1"/>
      <w:marLeft w:val="0"/>
      <w:marRight w:val="0"/>
      <w:marTop w:val="0"/>
      <w:marBottom w:val="0"/>
      <w:divBdr>
        <w:top w:val="none" w:sz="0" w:space="0" w:color="auto"/>
        <w:left w:val="none" w:sz="0" w:space="0" w:color="auto"/>
        <w:bottom w:val="none" w:sz="0" w:space="0" w:color="auto"/>
        <w:right w:val="none" w:sz="0" w:space="0" w:color="auto"/>
      </w:divBdr>
      <w:divsChild>
        <w:div w:id="119149547">
          <w:marLeft w:val="0"/>
          <w:marRight w:val="0"/>
          <w:marTop w:val="0"/>
          <w:marBottom w:val="0"/>
          <w:divBdr>
            <w:top w:val="none" w:sz="0" w:space="0" w:color="auto"/>
            <w:left w:val="none" w:sz="0" w:space="0" w:color="auto"/>
            <w:bottom w:val="none" w:sz="0" w:space="0" w:color="auto"/>
            <w:right w:val="none" w:sz="0" w:space="0" w:color="auto"/>
          </w:divBdr>
          <w:divsChild>
            <w:div w:id="97146002">
              <w:marLeft w:val="0"/>
              <w:marRight w:val="0"/>
              <w:marTop w:val="0"/>
              <w:marBottom w:val="0"/>
              <w:divBdr>
                <w:top w:val="none" w:sz="0" w:space="0" w:color="auto"/>
                <w:left w:val="none" w:sz="0" w:space="0" w:color="auto"/>
                <w:bottom w:val="none" w:sz="0" w:space="0" w:color="auto"/>
                <w:right w:val="none" w:sz="0" w:space="0" w:color="auto"/>
              </w:divBdr>
              <w:divsChild>
                <w:div w:id="1289629349">
                  <w:marLeft w:val="0"/>
                  <w:marRight w:val="0"/>
                  <w:marTop w:val="0"/>
                  <w:marBottom w:val="0"/>
                  <w:divBdr>
                    <w:top w:val="none" w:sz="0" w:space="0" w:color="auto"/>
                    <w:left w:val="none" w:sz="0" w:space="0" w:color="auto"/>
                    <w:bottom w:val="none" w:sz="0" w:space="0" w:color="auto"/>
                    <w:right w:val="none" w:sz="0" w:space="0" w:color="auto"/>
                  </w:divBdr>
                  <w:divsChild>
                    <w:div w:id="219444181">
                      <w:marLeft w:val="0"/>
                      <w:marRight w:val="0"/>
                      <w:marTop w:val="0"/>
                      <w:marBottom w:val="0"/>
                      <w:divBdr>
                        <w:top w:val="none" w:sz="0" w:space="0" w:color="auto"/>
                        <w:left w:val="none" w:sz="0" w:space="0" w:color="auto"/>
                        <w:bottom w:val="none" w:sz="0" w:space="0" w:color="auto"/>
                        <w:right w:val="none" w:sz="0" w:space="0" w:color="auto"/>
                      </w:divBdr>
                      <w:divsChild>
                        <w:div w:id="1013267560">
                          <w:marLeft w:val="0"/>
                          <w:marRight w:val="0"/>
                          <w:marTop w:val="0"/>
                          <w:marBottom w:val="0"/>
                          <w:divBdr>
                            <w:top w:val="none" w:sz="0" w:space="0" w:color="auto"/>
                            <w:left w:val="none" w:sz="0" w:space="0" w:color="auto"/>
                            <w:bottom w:val="none" w:sz="0" w:space="0" w:color="auto"/>
                            <w:right w:val="none" w:sz="0" w:space="0" w:color="auto"/>
                          </w:divBdr>
                          <w:divsChild>
                            <w:div w:id="206181917">
                              <w:marLeft w:val="0"/>
                              <w:marRight w:val="0"/>
                              <w:marTop w:val="0"/>
                              <w:marBottom w:val="360"/>
                              <w:divBdr>
                                <w:top w:val="none" w:sz="0" w:space="0" w:color="auto"/>
                                <w:left w:val="none" w:sz="0" w:space="0" w:color="auto"/>
                                <w:bottom w:val="none" w:sz="0" w:space="0" w:color="auto"/>
                                <w:right w:val="none" w:sz="0" w:space="0" w:color="auto"/>
                              </w:divBdr>
                            </w:div>
                            <w:div w:id="1725133584">
                              <w:marLeft w:val="0"/>
                              <w:marRight w:val="0"/>
                              <w:marTop w:val="0"/>
                              <w:marBottom w:val="0"/>
                              <w:divBdr>
                                <w:top w:val="none" w:sz="0" w:space="0" w:color="auto"/>
                                <w:left w:val="none" w:sz="0" w:space="0" w:color="auto"/>
                                <w:bottom w:val="none" w:sz="0" w:space="0" w:color="auto"/>
                                <w:right w:val="none" w:sz="0" w:space="0" w:color="auto"/>
                              </w:divBdr>
                              <w:divsChild>
                                <w:div w:id="618411481">
                                  <w:marLeft w:val="0"/>
                                  <w:marRight w:val="0"/>
                                  <w:marTop w:val="0"/>
                                  <w:marBottom w:val="0"/>
                                  <w:divBdr>
                                    <w:top w:val="none" w:sz="0" w:space="0" w:color="auto"/>
                                    <w:left w:val="none" w:sz="0" w:space="0" w:color="auto"/>
                                    <w:bottom w:val="none" w:sz="0" w:space="0" w:color="auto"/>
                                    <w:right w:val="none" w:sz="0" w:space="0" w:color="auto"/>
                                  </w:divBdr>
                                </w:div>
                              </w:divsChild>
                            </w:div>
                            <w:div w:id="1156190922">
                              <w:marLeft w:val="0"/>
                              <w:marRight w:val="0"/>
                              <w:marTop w:val="0"/>
                              <w:marBottom w:val="0"/>
                              <w:divBdr>
                                <w:top w:val="none" w:sz="0" w:space="0" w:color="auto"/>
                                <w:left w:val="none" w:sz="0" w:space="0" w:color="auto"/>
                                <w:bottom w:val="none" w:sz="0" w:space="0" w:color="auto"/>
                                <w:right w:val="none" w:sz="0" w:space="0" w:color="auto"/>
                              </w:divBdr>
                            </w:div>
                            <w:div w:id="313098077">
                              <w:marLeft w:val="0"/>
                              <w:marRight w:val="0"/>
                              <w:marTop w:val="0"/>
                              <w:marBottom w:val="0"/>
                              <w:divBdr>
                                <w:top w:val="none" w:sz="0" w:space="0" w:color="auto"/>
                                <w:left w:val="none" w:sz="0" w:space="0" w:color="auto"/>
                                <w:bottom w:val="none" w:sz="0" w:space="0" w:color="auto"/>
                                <w:right w:val="none" w:sz="0" w:space="0" w:color="auto"/>
                              </w:divBdr>
                            </w:div>
                            <w:div w:id="18454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fireandexplosion/workplace.htm" TargetMode="External"/><Relationship Id="rId13" Type="http://schemas.openxmlformats.org/officeDocument/2006/relationships/hyperlink" Target="https://www.gov.uk/government/uploads/system/uploads/attachment_data/file/14889/fsra-large-assembly.pdf" TargetMode="External"/><Relationship Id="rId18" Type="http://schemas.openxmlformats.org/officeDocument/2006/relationships/hyperlink" Target="http://www.safetyatsportsgrounds.org.uk/publications/green-guid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hepurpleguide.co.uk/index.php/the-purple-guide/87-19-campsites" TargetMode="External"/><Relationship Id="rId7" Type="http://schemas.openxmlformats.org/officeDocument/2006/relationships/hyperlink" Target="https://www.thepurpleguide.co.uk/index.php/component/mailto/?tmpl=component&amp;template=ja_simpli&amp;link=4b190a18839bcdbbaecdb2a6a5f3a2735ffb979c" TargetMode="External"/><Relationship Id="rId12" Type="http://schemas.openxmlformats.org/officeDocument/2006/relationships/hyperlink" Target="https://www.gov.uk/government/uploads/system/uploads/attachment_data/file/14888/fsra-small-medium-assembly.pdf" TargetMode="External"/><Relationship Id="rId17" Type="http://schemas.openxmlformats.org/officeDocument/2006/relationships/hyperlink" Target="https://www.gov.uk/government/uploads/system/uploads/attachment_data/file/14889/fsra-large-assembly.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uploads/system/uploads/attachment_data/file/14888/fsra-small-medium-assembly.pdf" TargetMode="External"/><Relationship Id="rId20" Type="http://schemas.openxmlformats.org/officeDocument/2006/relationships/hyperlink" Target="https://www.thepurpleguide.co.uk/index.php/the-purple-guide/100-6-communi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gov.uk/pubns/books/l21.htm" TargetMode="External"/><Relationship Id="rId24" Type="http://schemas.openxmlformats.org/officeDocument/2006/relationships/hyperlink" Target="http://www.hse.gov.uk/pubns/chis5.pdf" TargetMode="External"/><Relationship Id="rId5" Type="http://schemas.openxmlformats.org/officeDocument/2006/relationships/footnotes" Target="footnotes.xml"/><Relationship Id="rId15" Type="http://schemas.openxmlformats.org/officeDocument/2006/relationships/hyperlink" Target="https://www.gov.uk/workplace-fire-safety-your-responsibilities/fire-risk-assessments" TargetMode="External"/><Relationship Id="rId23" Type="http://schemas.openxmlformats.org/officeDocument/2006/relationships/hyperlink" Target="http://www.uklpg.org/" TargetMode="External"/><Relationship Id="rId10" Type="http://schemas.openxmlformats.org/officeDocument/2006/relationships/hyperlink" Target="http://www.hse.gov.uk/pubns/books/l21.htm" TargetMode="External"/><Relationship Id="rId19" Type="http://schemas.openxmlformats.org/officeDocument/2006/relationships/hyperlink" Target="https://www.thepurpleguide.co.uk/index.php/the-purple-guide/95-11-electrical-lighting" TargetMode="External"/><Relationship Id="rId4" Type="http://schemas.openxmlformats.org/officeDocument/2006/relationships/webSettings" Target="webSettings.xml"/><Relationship Id="rId9" Type="http://schemas.openxmlformats.org/officeDocument/2006/relationships/hyperlink" Target="http://www.hse.gov.uk/fireandexplosion/workplace.htm" TargetMode="External"/><Relationship Id="rId14" Type="http://schemas.openxmlformats.org/officeDocument/2006/relationships/hyperlink" Target="http://www.performancetextiles.org.uk/" TargetMode="External"/><Relationship Id="rId22" Type="http://schemas.openxmlformats.org/officeDocument/2006/relationships/hyperlink" Target="http://www.gassaferegister.co.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3961</Words>
  <Characters>22579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Munro</dc:creator>
  <cp:keywords/>
  <dc:description/>
  <cp:lastModifiedBy>Tim Munro</cp:lastModifiedBy>
  <cp:revision>37</cp:revision>
  <dcterms:created xsi:type="dcterms:W3CDTF">2018-12-18T11:55:00Z</dcterms:created>
  <dcterms:modified xsi:type="dcterms:W3CDTF">2018-12-21T15:43:00Z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54ca5-015e-47ab-9fdb-c0a8323bc23e_Enabled">
    <vt:lpwstr>True</vt:lpwstr>
  </property>
  <property fmtid="{D5CDD505-2E9C-101B-9397-08002B2CF9AE}" pid="3" name="MSIP_Label_d0354ca5-015e-47ab-9fdb-c0a8323bc23e_SiteId">
    <vt:lpwstr>07ebc6c3-7074-4387-a625-b9d918ba4a97</vt:lpwstr>
  </property>
  <property fmtid="{D5CDD505-2E9C-101B-9397-08002B2CF9AE}" pid="4" name="MSIP_Label_d0354ca5-015e-47ab-9fdb-c0a8323bc23e_Owner">
    <vt:lpwstr>Tim.Munro@wolverhampton.gov.uk</vt:lpwstr>
  </property>
  <property fmtid="{D5CDD505-2E9C-101B-9397-08002B2CF9AE}" pid="5" name="MSIP_Label_d0354ca5-015e-47ab-9fdb-c0a8323bc23e_SetDate">
    <vt:lpwstr>2018-12-07T14:39:46.7828327Z</vt:lpwstr>
  </property>
  <property fmtid="{D5CDD505-2E9C-101B-9397-08002B2CF9AE}" pid="6" name="MSIP_Label_d0354ca5-015e-47ab-9fdb-c0a8323bc23e_Name">
    <vt:lpwstr>NO MARKING</vt:lpwstr>
  </property>
  <property fmtid="{D5CDD505-2E9C-101B-9397-08002B2CF9AE}" pid="7" name="MSIP_Label_d0354ca5-015e-47ab-9fdb-c0a8323bc23e_Application">
    <vt:lpwstr>Microsoft Azure Information Protection</vt:lpwstr>
  </property>
  <property fmtid="{D5CDD505-2E9C-101B-9397-08002B2CF9AE}" pid="8" name="MSIP_Label_d0354ca5-015e-47ab-9fdb-c0a8323bc23e_Extended_MSFT_Method">
    <vt:lpwstr>Manual</vt:lpwstr>
  </property>
  <property fmtid="{D5CDD505-2E9C-101B-9397-08002B2CF9AE}" pid="9" name="Sensitivity">
    <vt:lpwstr>NO MARKING</vt:lpwstr>
  </property>
</Properties>
</file>