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WALTHAM FORSEST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Parking Permit Application Form</w:t>
      </w:r>
    </w:p>
    <w:p w:rsidR="00000000" w:rsidDel="00000000" w:rsidP="00000000" w:rsidRDefault="00000000" w:rsidRPr="00000000" w14:paraId="00000004">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w:t>
      </w:r>
      <w:hyperlink r:id="rId13">
        <w:r w:rsidDel="00000000" w:rsidR="00000000" w:rsidRPr="00000000">
          <w:rPr>
            <w:rFonts w:ascii="Poppins" w:cs="Poppins" w:eastAsia="Poppins" w:hAnsi="Poppins"/>
            <w:color w:val="0563c1"/>
            <w:sz w:val="20"/>
            <w:szCs w:val="20"/>
            <w:u w:val="single"/>
            <w:rtl w:val="0"/>
          </w:rPr>
          <w:t xml:space="preserve">info@haringeyfilmoffice.co.uk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3 working days’</w:t>
      </w:r>
      <w:r w:rsidDel="00000000" w:rsidR="00000000" w:rsidRPr="00000000">
        <w:rPr>
          <w:rFonts w:ascii="Poppins" w:cs="Poppins" w:eastAsia="Poppins" w:hAnsi="Poppins"/>
          <w:sz w:val="20"/>
          <w:szCs w:val="20"/>
          <w:rtl w:val="0"/>
        </w:rPr>
        <w:t xml:space="preserve"> notice is required</w:t>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bookmarkStart w:colFirst="0" w:colLast="0" w:name="_heading=h.30j0zll" w:id="1"/>
      <w:bookmarkEnd w:id="1"/>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8">
      <w:pPr>
        <w:widowControl w:val="1"/>
        <w:numPr>
          <w:ilvl w:val="0"/>
          <w:numId w:val="1"/>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Parking permits are for technical and facilities vehicles only, not for crew cars. A maximum of eight waivers are available per production per day.</w:t>
      </w:r>
    </w:p>
    <w:p w:rsidR="00000000" w:rsidDel="00000000" w:rsidP="00000000" w:rsidRDefault="00000000" w:rsidRPr="00000000" w14:paraId="00000009">
      <w:pPr>
        <w:widowControl w:val="1"/>
        <w:numPr>
          <w:ilvl w:val="0"/>
          <w:numId w:val="1"/>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Permits can be used to park on the given day, for the full day, in any available resident permit / shared use bays.</w:t>
      </w:r>
    </w:p>
    <w:p w:rsidR="00000000" w:rsidDel="00000000" w:rsidP="00000000" w:rsidRDefault="00000000" w:rsidRPr="00000000" w14:paraId="0000000A">
      <w:pPr>
        <w:widowControl w:val="1"/>
        <w:numPr>
          <w:ilvl w:val="0"/>
          <w:numId w:val="1"/>
        </w:numPr>
        <w:shd w:fill="ffffff" w:val="clea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Permits are non-refundable or amendable – please ensure all VRNs and dates are correct.</w:t>
      </w:r>
    </w:p>
    <w:p w:rsidR="00000000" w:rsidDel="00000000" w:rsidP="00000000" w:rsidRDefault="00000000" w:rsidRPr="00000000" w14:paraId="0000000B">
      <w:pPr>
        <w:widowControl w:val="1"/>
        <w:numPr>
          <w:ilvl w:val="0"/>
          <w:numId w:val="1"/>
        </w:numPr>
        <w:shd w:fill="ffffff" w:val="clear"/>
        <w:spacing w:after="240" w:lineRule="auto"/>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4046538</wp:posOffset>
                </wp:positionH>
                <wp:positionV relativeFrom="paragraph">
                  <wp:posOffset>7940</wp:posOffset>
                </wp:positionV>
                <wp:extent cx="2236470" cy="581025"/>
                <wp:effectExtent b="0" l="0" r="0" t="0"/>
                <wp:wrapSquare wrapText="bothSides" distB="114300" distT="114300" distL="114300" distR="114300"/>
                <wp:docPr id="1570214539"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WLFFIL</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4046538</wp:posOffset>
                </wp:positionH>
                <wp:positionV relativeFrom="paragraph">
                  <wp:posOffset>7940</wp:posOffset>
                </wp:positionV>
                <wp:extent cx="2236470" cy="581025"/>
                <wp:effectExtent b="0" l="0" r="0" t="0"/>
                <wp:wrapSquare wrapText="bothSides" distB="114300" distT="114300" distL="114300" distR="114300"/>
                <wp:docPr id="1570214539"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36470" cy="581025"/>
                        </a:xfrm>
                        <a:prstGeom prst="rect"/>
                        <a:ln/>
                      </pic:spPr>
                    </pic:pic>
                  </a:graphicData>
                </a:graphic>
              </wp:anchor>
            </w:drawing>
          </mc:Fallback>
        </mc:AlternateContent>
      </w:r>
    </w:p>
    <w:p w:rsidR="00000000" w:rsidDel="00000000" w:rsidP="00000000" w:rsidRDefault="00000000" w:rsidRPr="00000000" w14:paraId="0000000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F">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10">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2">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4">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6">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8">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A">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1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check the operational hours for the parking bay in which you wish to park as you may not need a permit, particularly on Saturday or Sunday.</w:t>
      </w:r>
    </w:p>
    <w:p w:rsidR="00000000" w:rsidDel="00000000" w:rsidP="00000000" w:rsidRDefault="00000000" w:rsidRPr="00000000" w14:paraId="0000001F">
      <w:pPr>
        <w:rPr>
          <w:rFonts w:ascii="Arial" w:cs="Arial" w:eastAsia="Arial" w:hAnsi="Arial"/>
          <w:b w:val="1"/>
          <w:bCs w:val="1"/>
          <w:sz w:val="28"/>
          <w:szCs w:val="28"/>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5670"/>
        <w:tblGridChange w:id="0">
          <w:tblGrid>
            <w:gridCol w:w="4531"/>
            <w:gridCol w:w="5670"/>
          </w:tblGrid>
        </w:tblGridChange>
      </w:tblGrid>
      <w:tr>
        <w:trPr>
          <w:cantSplit w:val="0"/>
          <w:trHeight w:val="510" w:hRule="atLeast"/>
          <w:tblHeader w:val="0"/>
        </w:trPr>
        <w:tc>
          <w:tcPr>
            <w:vAlign w:val="center"/>
          </w:tcPr>
          <w:p w:rsidR="00000000" w:rsidDel="00000000" w:rsidP="00000000" w:rsidRDefault="00000000" w:rsidRPr="00000000" w14:paraId="0000002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Street Name</w:t>
            </w:r>
          </w:p>
        </w:tc>
        <w:tc>
          <w:tcPr/>
          <w:p w:rsidR="00000000" w:rsidDel="00000000" w:rsidP="00000000" w:rsidRDefault="00000000" w:rsidRPr="00000000" w14:paraId="00000021">
            <w:pPr>
              <w:rPr>
                <w:rFonts w:ascii="Poppins" w:cs="Poppins" w:eastAsia="Poppins" w:hAnsi="Poppins"/>
                <w:sz w:val="20"/>
                <w:szCs w:val="20"/>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2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Vehicle registration number(s) </w:t>
            </w:r>
            <w:r w:rsidDel="00000000" w:rsidR="00000000" w:rsidRPr="00000000">
              <w:rPr>
                <w:rFonts w:ascii="Poppins" w:cs="Poppins" w:eastAsia="Poppins" w:hAnsi="Poppins"/>
                <w:color w:val="ff0000"/>
                <w:sz w:val="20"/>
                <w:szCs w:val="20"/>
                <w:rtl w:val="0"/>
              </w:rPr>
              <w:t xml:space="preserve">*required*</w:t>
            </w:r>
            <w:r w:rsidDel="00000000" w:rsidR="00000000" w:rsidRPr="00000000">
              <w:rPr>
                <w:rtl w:val="0"/>
              </w:rPr>
            </w:r>
          </w:p>
        </w:tc>
        <w:tc>
          <w:tcPr/>
          <w:p w:rsidR="00000000" w:rsidDel="00000000" w:rsidP="00000000" w:rsidRDefault="00000000" w:rsidRPr="00000000" w14:paraId="0000002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4">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6">
            <w:pPr>
              <w:rPr>
                <w:rFonts w:ascii="Poppins" w:cs="Poppins" w:eastAsia="Poppins" w:hAnsi="Poppins"/>
                <w:sz w:val="20"/>
                <w:szCs w:val="20"/>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Date(s) permit required</w:t>
            </w:r>
          </w:p>
        </w:tc>
        <w:tc>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A">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2B">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calculate payment. Permissions to park are £45.00 per vehicle per day and an administration fee will be charged on top on a case by case basis.</w:t>
      </w:r>
    </w:p>
    <w:p w:rsidR="00000000" w:rsidDel="00000000" w:rsidP="00000000" w:rsidRDefault="00000000" w:rsidRPr="00000000" w14:paraId="0000002C">
      <w:pPr>
        <w:rPr>
          <w:rFonts w:ascii="Arial" w:cs="Arial" w:eastAsia="Arial" w:hAnsi="Arial"/>
          <w:i w:val="1"/>
          <w:iCs w:val="1"/>
          <w:sz w:val="22"/>
          <w:szCs w:val="22"/>
        </w:rPr>
      </w:pPr>
      <w:r w:rsidDel="00000000" w:rsidR="00000000" w:rsidRPr="00000000">
        <w:rPr>
          <w:rtl w:val="0"/>
        </w:rPr>
      </w:r>
    </w:p>
    <w:tbl>
      <w:tblPr>
        <w:tblStyle w:val="Table3"/>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252"/>
        <w:gridCol w:w="2268"/>
        <w:gridCol w:w="2693"/>
        <w:tblGridChange w:id="0">
          <w:tblGrid>
            <w:gridCol w:w="2988"/>
            <w:gridCol w:w="2252"/>
            <w:gridCol w:w="2268"/>
            <w:gridCol w:w="2693"/>
          </w:tblGrid>
        </w:tblGridChange>
      </w:tblGrid>
      <w:tr>
        <w:trPr>
          <w:cantSplit w:val="0"/>
          <w:trHeight w:val="454" w:hRule="atLeast"/>
          <w:tblHeader w:val="0"/>
        </w:trPr>
        <w:tc>
          <w:tcPr>
            <w:vAlign w:val="center"/>
          </w:tcPr>
          <w:p w:rsidR="00000000" w:rsidDel="00000000" w:rsidP="00000000" w:rsidRDefault="00000000" w:rsidRPr="00000000" w14:paraId="0000002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w:t>
            </w:r>
          </w:p>
        </w:tc>
        <w:tc>
          <w:tcPr>
            <w:vAlign w:val="center"/>
          </w:tcPr>
          <w:p w:rsidR="00000000" w:rsidDel="00000000" w:rsidP="00000000" w:rsidRDefault="00000000" w:rsidRPr="00000000" w14:paraId="0000002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Number of permits</w:t>
            </w:r>
          </w:p>
        </w:tc>
        <w:tc>
          <w:tcPr>
            <w:vAlign w:val="center"/>
          </w:tcPr>
          <w:p w:rsidR="00000000" w:rsidDel="00000000" w:rsidP="00000000" w:rsidRDefault="00000000" w:rsidRPr="00000000" w14:paraId="0000002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Cost</w:t>
            </w:r>
          </w:p>
        </w:tc>
        <w:tc>
          <w:tcPr>
            <w:vAlign w:val="center"/>
          </w:tcPr>
          <w:p w:rsidR="00000000" w:rsidDel="00000000" w:rsidP="00000000" w:rsidRDefault="00000000" w:rsidRPr="00000000" w14:paraId="00000030">
            <w:pPr>
              <w:ind w:right="634"/>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Total</w:t>
            </w:r>
          </w:p>
        </w:tc>
      </w:tr>
      <w:tr>
        <w:trPr>
          <w:cantSplit w:val="0"/>
          <w:trHeight w:val="454" w:hRule="atLeast"/>
          <w:tblHeader w:val="0"/>
        </w:trPr>
        <w:tc>
          <w:tcPr/>
          <w:p w:rsidR="00000000" w:rsidDel="00000000" w:rsidP="00000000" w:rsidRDefault="00000000" w:rsidRPr="00000000" w14:paraId="00000031">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2">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£45.00 each</w:t>
            </w:r>
          </w:p>
        </w:tc>
        <w:tc>
          <w:tcPr>
            <w:vAlign w:val="center"/>
          </w:tcPr>
          <w:p w:rsidR="00000000" w:rsidDel="00000000" w:rsidP="00000000" w:rsidRDefault="00000000" w:rsidRPr="00000000" w14:paraId="0000003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r>
      <w:tr>
        <w:trPr>
          <w:cantSplit w:val="0"/>
          <w:trHeight w:val="454" w:hRule="atLeast"/>
          <w:tblHeader w:val="0"/>
        </w:trPr>
        <w:tc>
          <w:tcPr/>
          <w:p w:rsidR="00000000" w:rsidDel="00000000" w:rsidP="00000000" w:rsidRDefault="00000000" w:rsidRPr="00000000" w14:paraId="00000035">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6">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£45.00 each</w:t>
            </w:r>
          </w:p>
        </w:tc>
        <w:tc>
          <w:tcPr>
            <w:vAlign w:val="center"/>
          </w:tcPr>
          <w:p w:rsidR="00000000" w:rsidDel="00000000" w:rsidP="00000000" w:rsidRDefault="00000000" w:rsidRPr="00000000" w14:paraId="0000003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r>
    </w:tbl>
    <w:p w:rsidR="00000000" w:rsidDel="00000000" w:rsidP="00000000" w:rsidRDefault="00000000" w:rsidRPr="00000000" w14:paraId="00000039">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A">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3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3C">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D">
      <w:pPr>
        <w:rPr>
          <w:rFonts w:ascii="Poppins" w:cs="Poppins" w:eastAsia="Poppins" w:hAnsi="Poppins"/>
          <w:color w:val="1a4558"/>
        </w:rPr>
      </w:pPr>
      <w:r w:rsidDel="00000000" w:rsidR="00000000" w:rsidRPr="00000000">
        <w:rPr>
          <w:rFonts w:ascii="Poppins" w:cs="Poppins" w:eastAsia="Poppins" w:hAnsi="Poppins"/>
          <w:color w:val="1a4558"/>
          <w:rtl w:val="0"/>
        </w:rPr>
        <w:t xml:space="preserve">Essential Information and Guidance Notes</w:t>
      </w:r>
    </w:p>
    <w:p w:rsidR="00000000" w:rsidDel="00000000" w:rsidP="00000000" w:rsidRDefault="00000000" w:rsidRPr="00000000" w14:paraId="0000003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Who can apply?</w:t>
      </w:r>
    </w:p>
    <w:p w:rsidR="00000000" w:rsidDel="00000000" w:rsidP="00000000" w:rsidRDefault="00000000" w:rsidRPr="00000000" w14:paraId="0000003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Parking Permits are often used in an area where there are no suitable parking bays for a suspension or the lead in time for a suspension is not available; and where the activity is intermittent. The length of time a permission to park is valid for is specific to each application.</w:t>
      </w:r>
    </w:p>
    <w:p w:rsidR="00000000" w:rsidDel="00000000" w:rsidP="00000000" w:rsidRDefault="00000000" w:rsidRPr="00000000" w14:paraId="0000004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Vehicles should not:</w:t>
      </w:r>
    </w:p>
    <w:p w:rsidR="00000000" w:rsidDel="00000000" w:rsidP="00000000" w:rsidRDefault="00000000" w:rsidRPr="00000000" w14:paraId="0000004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in bus lanes and bus stops</w:t>
      </w:r>
    </w:p>
    <w:p w:rsidR="00000000" w:rsidDel="00000000" w:rsidP="00000000" w:rsidRDefault="00000000" w:rsidRPr="00000000" w14:paraId="0000004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cause an obstruction or danger to pedestrians and other road users</w:t>
      </w:r>
    </w:p>
    <w:p w:rsidR="00000000" w:rsidDel="00000000" w:rsidP="00000000" w:rsidRDefault="00000000" w:rsidRPr="00000000" w14:paraId="00000044">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on school ‘keep clear’ markings, pedestrian crossing zigzags or emergency service access markings</w:t>
      </w:r>
    </w:p>
    <w:p w:rsidR="00000000" w:rsidDel="00000000" w:rsidP="00000000" w:rsidRDefault="00000000" w:rsidRPr="00000000" w14:paraId="0000004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on TfL red routes and cycle tracks</w:t>
      </w:r>
    </w:p>
    <w:p w:rsidR="00000000" w:rsidDel="00000000" w:rsidP="00000000" w:rsidRDefault="00000000" w:rsidRPr="00000000" w14:paraId="00000046">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on footways, dropped kerbs and entrances</w:t>
      </w:r>
    </w:p>
    <w:p w:rsidR="00000000" w:rsidDel="00000000" w:rsidP="00000000" w:rsidRDefault="00000000" w:rsidRPr="00000000" w14:paraId="0000004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in pay &amp; display bays</w:t>
      </w:r>
    </w:p>
    <w:p w:rsidR="00000000" w:rsidDel="00000000" w:rsidP="00000000" w:rsidRDefault="00000000" w:rsidRPr="00000000" w14:paraId="0000004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on single or double yellow lines</w:t>
      </w:r>
    </w:p>
    <w:p w:rsidR="00000000" w:rsidDel="00000000" w:rsidP="00000000" w:rsidRDefault="00000000" w:rsidRPr="00000000" w14:paraId="0000004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be parked in disabled permit, motorcycle, electric car, car club, business permit and diplomatic bays</w:t>
      </w:r>
    </w:p>
    <w:p w:rsidR="00000000" w:rsidDel="00000000" w:rsidP="00000000" w:rsidRDefault="00000000" w:rsidRPr="00000000" w14:paraId="0000004A">
      <w:pPr>
        <w:ind w:left="720"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Where do I display my permit?</w:t>
      </w:r>
    </w:p>
    <w:p w:rsidR="00000000" w:rsidDel="00000000" w:rsidP="00000000" w:rsidRDefault="00000000" w:rsidRPr="00000000" w14:paraId="0000004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Permits are now generated electronically and a ‘notice of non-enforcement’ for the VRNs is sent to the Parking Wardens. Please ensure a “Film Unit” sign is displayed on the vehicle dashboard.</w:t>
      </w:r>
    </w:p>
    <w:p w:rsidR="00000000" w:rsidDel="00000000" w:rsidP="00000000" w:rsidRDefault="00000000" w:rsidRPr="00000000" w14:paraId="0000004D">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Data protection </w:t>
      </w:r>
    </w:p>
    <w:p w:rsidR="00000000" w:rsidDel="00000000" w:rsidP="00000000" w:rsidRDefault="00000000" w:rsidRPr="00000000" w14:paraId="0000004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 Any applications received after 3pm will be processed the next working day.</w:t>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line="288" w:lineRule="auto"/>
      <w:jc w:val="center"/>
      <w:rPr>
        <w:rFonts w:ascii="Poppins Light" w:cs="Poppins Light" w:eastAsia="Poppins Light" w:hAnsi="Poppins Light"/>
        <w:smallCaps w:val="1"/>
        <w:color w:val="1f4558"/>
        <w:sz w:val="28"/>
        <w:szCs w:val="28"/>
      </w:rPr>
    </w:pPr>
    <w:r w:rsidDel="00000000" w:rsidR="00000000" w:rsidRPr="00000000">
      <w:rPr>
        <w:rFonts w:ascii="Poppins Light" w:cs="Poppins Light" w:eastAsia="Poppins Light" w:hAnsi="Poppins Light"/>
        <w:smallCaps w:val="1"/>
        <w:color w:val="1a4558"/>
        <w:sz w:val="28"/>
        <w:szCs w:val="28"/>
        <w:rtl w:val="0"/>
      </w:rPr>
      <w:t xml:space="preserve">GREAT</w:t>
    </w:r>
    <w:r w:rsidDel="00000000" w:rsidR="00000000" w:rsidRPr="00000000">
      <w:rPr>
        <w:rFonts w:ascii="Poppins Light" w:cs="Poppins Light" w:eastAsia="Poppins Light" w:hAnsi="Poppins Light"/>
        <w:smallCaps w:val="1"/>
        <w:color w:val="1f4558"/>
        <w:sz w:val="28"/>
        <w:szCs w:val="28"/>
        <w:rtl w:val="0"/>
      </w:rPr>
      <w:t xml:space="preserve"> LOCATIONS MAKE GREAT FILMS</w:t>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line="288" w:lineRule="auto"/>
      <w:jc w:val="center"/>
      <w:rPr>
        <w:rFonts w:ascii="Poppins" w:cs="Poppins" w:eastAsia="Poppins" w:hAnsi="Poppins"/>
        <w:color w:val="000000"/>
        <w:sz w:val="16"/>
        <w:szCs w:val="16"/>
      </w:rPr>
    </w:pPr>
    <w:r w:rsidDel="00000000" w:rsidR="00000000" w:rsidRPr="00000000">
      <w:rPr>
        <w:rFonts w:ascii="Poppins" w:cs="Poppins" w:eastAsia="Poppins" w:hAnsi="Poppins"/>
        <w:color w:val="1f4558"/>
        <w:sz w:val="16"/>
        <w:szCs w:val="16"/>
        <w:rtl w:val="0"/>
      </w:rPr>
      <w:t xml:space="preserve">+44(0)20 7620 0391  |  info@filmfixer.co.uk  |  filmfixer.co.uk  |  </w:t>
    </w:r>
    <w:r w:rsidDel="00000000" w:rsidR="00000000" w:rsidRPr="00000000">
      <w:rPr>
        <w:rFonts w:ascii="Poppins" w:cs="Poppins" w:eastAsia="Poppins" w:hAnsi="Poppins"/>
        <w:color w:val="4d4d4c"/>
        <w:sz w:val="16"/>
        <w:szCs w:val="16"/>
        <w:rtl w:val="0"/>
      </w:rPr>
      <w:t xml:space="preserve">Units C &amp; D, 57-59 Great Suffolk Street, London SE1 0BB</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288" w:lineRule="auto"/>
      <w:jc w:val="center"/>
      <w:rPr>
        <w:rFonts w:ascii="Poppins Light" w:cs="Poppins Light" w:eastAsia="Poppins Light" w:hAnsi="Poppins Light"/>
        <w:smallCaps w:val="1"/>
        <w:color w:val="1f4558"/>
        <w:sz w:val="28"/>
        <w:szCs w:val="28"/>
      </w:rPr>
    </w:pPr>
    <w:r w:rsidDel="00000000" w:rsidR="00000000" w:rsidRPr="00000000">
      <w:rPr>
        <w:rFonts w:ascii="Poppins Light" w:cs="Poppins Light" w:eastAsia="Poppins Light" w:hAnsi="Poppins Light"/>
        <w:smallCaps w:val="1"/>
        <w:color w:val="1a4558"/>
        <w:sz w:val="28"/>
        <w:szCs w:val="28"/>
        <w:rtl w:val="0"/>
      </w:rPr>
      <w:t xml:space="preserve">GREAT</w:t>
    </w:r>
    <w:r w:rsidDel="00000000" w:rsidR="00000000" w:rsidRPr="00000000">
      <w:rPr>
        <w:rFonts w:ascii="Poppins Light" w:cs="Poppins Light" w:eastAsia="Poppins Light" w:hAnsi="Poppins Light"/>
        <w:smallCaps w:val="1"/>
        <w:color w:val="1f4558"/>
        <w:sz w:val="28"/>
        <w:szCs w:val="28"/>
        <w:rtl w:val="0"/>
      </w:rPr>
      <w:t xml:space="preserve"> LOCATIONS MAKE GREAT FILMS</w:t>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line="288" w:lineRule="auto"/>
      <w:jc w:val="center"/>
      <w:rPr>
        <w:rFonts w:ascii="Poppins" w:cs="Poppins" w:eastAsia="Poppins" w:hAnsi="Poppins"/>
        <w:color w:val="000000"/>
        <w:sz w:val="16"/>
        <w:szCs w:val="16"/>
      </w:rPr>
    </w:pPr>
    <w:r w:rsidDel="00000000" w:rsidR="00000000" w:rsidRPr="00000000">
      <w:rPr>
        <w:rFonts w:ascii="Poppins" w:cs="Poppins" w:eastAsia="Poppins" w:hAnsi="Poppins"/>
        <w:color w:val="1f4558"/>
        <w:sz w:val="16"/>
        <w:szCs w:val="16"/>
        <w:rtl w:val="0"/>
      </w:rPr>
      <w:t xml:space="preserve">+44(0)20 7620 0391  |  info@filmfixer.co.uk  |  filmfixer.co.uk  |  </w:t>
    </w:r>
    <w:r w:rsidDel="00000000" w:rsidR="00000000" w:rsidRPr="00000000">
      <w:rPr>
        <w:rFonts w:ascii="Poppins" w:cs="Poppins" w:eastAsia="Poppins" w:hAnsi="Poppins"/>
        <w:color w:val="4d4d4c"/>
        <w:sz w:val="16"/>
        <w:szCs w:val="16"/>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-379093</wp:posOffset>
          </wp:positionH>
          <wp:positionV relativeFrom="paragraph">
            <wp:posOffset>180340</wp:posOffset>
          </wp:positionV>
          <wp:extent cx="7491730" cy="502285"/>
          <wp:effectExtent b="0" l="0" r="0" t="0"/>
          <wp:wrapSquare wrapText="bothSides" distB="0" distT="0" distL="114300" distR="114300"/>
          <wp:docPr id="157021454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-364488</wp:posOffset>
          </wp:positionH>
          <wp:positionV relativeFrom="paragraph">
            <wp:posOffset>-716913</wp:posOffset>
          </wp:positionV>
          <wp:extent cx="7491730" cy="502285"/>
          <wp:effectExtent b="0" l="0" r="0" t="0"/>
          <wp:wrapSquare wrapText="bothSides" distB="0" distT="0" distL="114300" distR="114300"/>
          <wp:docPr id="157021454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6741D"/>
    <w:rPr>
      <w:color w:val="0563c1" w:themeColor="hyperlink"/>
      <w:u w:val="single"/>
    </w:rPr>
  </w:style>
  <w:style w:type="character" w:styleId="UnresolvedMention">
    <w:name w:val="Unresolved Mention"/>
    <w:basedOn w:val="DefaultParagraphFont"/>
    <w:uiPriority w:val="99"/>
    <w:semiHidden w:val="1"/>
    <w:unhideWhenUsed w:val="1"/>
    <w:rsid w:val="00D6741D"/>
    <w:rPr>
      <w:color w:val="605e5c"/>
      <w:shd w:color="auto" w:fill="e1dfdd" w:val="clear"/>
    </w:rPr>
  </w:style>
  <w:style w:type="paragraph" w:styleId="Header">
    <w:name w:val="header"/>
    <w:basedOn w:val="Normal"/>
    <w:link w:val="HeaderChar"/>
    <w:uiPriority w:val="99"/>
    <w:unhideWhenUsed w:val="1"/>
    <w:rsid w:val="00D6741D"/>
    <w:pPr>
      <w:tabs>
        <w:tab w:val="center" w:pos="4513"/>
        <w:tab w:val="right" w:pos="9026"/>
      </w:tabs>
    </w:pPr>
  </w:style>
  <w:style w:type="character" w:styleId="HeaderChar" w:customStyle="1">
    <w:name w:val="Header Char"/>
    <w:basedOn w:val="DefaultParagraphFont"/>
    <w:link w:val="Header"/>
    <w:uiPriority w:val="99"/>
    <w:rsid w:val="00D6741D"/>
  </w:style>
  <w:style w:type="paragraph" w:styleId="Footer">
    <w:name w:val="footer"/>
    <w:basedOn w:val="Normal"/>
    <w:link w:val="FooterChar"/>
    <w:uiPriority w:val="99"/>
    <w:unhideWhenUsed w:val="1"/>
    <w:rsid w:val="00D6741D"/>
    <w:pPr>
      <w:tabs>
        <w:tab w:val="center" w:pos="4513"/>
        <w:tab w:val="right" w:pos="9026"/>
      </w:tabs>
    </w:pPr>
  </w:style>
  <w:style w:type="character" w:styleId="FooterChar" w:customStyle="1">
    <w:name w:val="Footer Char"/>
    <w:basedOn w:val="DefaultParagraphFont"/>
    <w:link w:val="Footer"/>
    <w:uiPriority w:val="99"/>
    <w:rsid w:val="00D6741D"/>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sicParagraph" w:customStyle="1">
    <w:name w:val="[Basic Paragraph]"/>
    <w:basedOn w:val="Normal"/>
    <w:uiPriority w:val="99"/>
    <w:rsid w:val="005F5EF8"/>
    <w:pPr>
      <w:widowControl w:val="1"/>
      <w:autoSpaceDE w:val="0"/>
      <w:autoSpaceDN w:val="0"/>
      <w:adjustRightInd w:val="0"/>
      <w:spacing w:line="288" w:lineRule="auto"/>
      <w:textAlignment w:val="center"/>
    </w:pPr>
    <w:rPr>
      <w:rFonts w:ascii="MinionPro-Regular" w:cs="MinionPro-Regular" w:hAnsi="MinionPro-Regular" w:eastAsiaTheme="minorHAnsi"/>
      <w:color w:val="000000"/>
      <w:lang w:eastAsia="en-US"/>
    </w:rPr>
  </w:style>
  <w:style w:type="paragraph" w:styleId="NormalWeb">
    <w:name w:val="Normal (Web)"/>
    <w:basedOn w:val="Normal"/>
    <w:uiPriority w:val="99"/>
    <w:unhideWhenUsed w:val="1"/>
    <w:rsid w:val="006D6E2C"/>
    <w:pPr>
      <w:widowControl w:val="1"/>
      <w:spacing w:after="100" w:afterAutospacing="1" w:before="100" w:beforeAutospacing="1"/>
    </w:p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mailto:info@walthamforestfilmoffice.co.uk"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P1mK+gjLmo03+VwhliF6a+s2w==">CgMxLjAyCGguZ2pkZ3hzMgloLjMwajB6bGw4AHIhMTlQRWpTVkQ5NnU0Nk9fNW5hQUNkWHNWejRtRTQzeUVw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2025-03-20T14:37:00Z</dcterms:created>
  <dc:creator>Rhian Sharpe</dc:creator>
</cp:coreProperties>
</file>