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6165E" w14:textId="17642038" w:rsidR="00E409D3" w:rsidRPr="00E409D3" w:rsidRDefault="00E409D3" w:rsidP="009F04F5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</w:pPr>
      <w:r w:rsidRPr="00E409D3">
        <w:rPr>
          <w:rFonts w:ascii="Arial" w:eastAsia="Times New Roman" w:hAnsi="Arial" w:cs="Arial"/>
          <w:b/>
          <w:bCs/>
          <w:noProof/>
          <w:color w:val="333333"/>
          <w:sz w:val="24"/>
          <w:szCs w:val="24"/>
          <w:lang w:eastAsia="en-GB"/>
        </w:rPr>
        <w:drawing>
          <wp:inline distT="0" distB="0" distL="0" distR="0" wp14:anchorId="7734B246" wp14:editId="51159DD6">
            <wp:extent cx="5731510" cy="1433195"/>
            <wp:effectExtent l="0" t="0" r="254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69A88" w14:textId="77777777" w:rsidR="00E409D3" w:rsidRPr="00E409D3" w:rsidRDefault="00E409D3" w:rsidP="009F04F5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</w:pPr>
    </w:p>
    <w:p w14:paraId="634B3760" w14:textId="7F007D43" w:rsidR="001A4172" w:rsidRPr="00E409D3" w:rsidRDefault="00517746" w:rsidP="00E409D3">
      <w:pPr>
        <w:pStyle w:val="Heading1"/>
        <w:rPr>
          <w:rFonts w:eastAsia="Times New Roman"/>
          <w:sz w:val="72"/>
          <w:szCs w:val="72"/>
          <w:lang w:eastAsia="en-GB"/>
        </w:rPr>
      </w:pPr>
      <w:r w:rsidRPr="00E409D3">
        <w:rPr>
          <w:rFonts w:eastAsia="Times New Roman"/>
          <w:sz w:val="72"/>
          <w:szCs w:val="72"/>
          <w:lang w:eastAsia="en-GB"/>
        </w:rPr>
        <w:t xml:space="preserve">Holding an event in </w:t>
      </w:r>
      <w:r w:rsidR="00E409D3" w:rsidRPr="00E409D3">
        <w:rPr>
          <w:rFonts w:eastAsia="Times New Roman"/>
          <w:sz w:val="72"/>
          <w:szCs w:val="72"/>
          <w:lang w:eastAsia="en-GB"/>
        </w:rPr>
        <w:t xml:space="preserve">BPP </w:t>
      </w:r>
    </w:p>
    <w:p w14:paraId="3882D05B" w14:textId="569D90BB" w:rsidR="00A94A0D" w:rsidRPr="00E409D3" w:rsidRDefault="00A94A0D" w:rsidP="00A94A0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This guide </w:t>
      </w:r>
      <w:r w:rsidR="00E409D3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is relevant t</w:t>
      </w:r>
      <w:r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o </w:t>
      </w:r>
      <w:r w:rsidR="00E409D3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both </w:t>
      </w:r>
      <w:r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outdoor and indoor events</w:t>
      </w:r>
      <w:r w:rsidR="001F65E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and provides an overview of what it is like to host an event in BPP and considerations when applying to hold an event here</w:t>
      </w:r>
      <w:r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</w:p>
    <w:p w14:paraId="705FF36B" w14:textId="77777777" w:rsidR="00F21A98" w:rsidRDefault="00F21A98" w:rsidP="00E409D3">
      <w:pPr>
        <w:pStyle w:val="Heading2"/>
        <w:rPr>
          <w:rFonts w:eastAsia="Times New Roman"/>
          <w:b/>
          <w:bCs/>
          <w:color w:val="A02069"/>
          <w:sz w:val="32"/>
          <w:szCs w:val="32"/>
          <w:lang w:eastAsia="en-GB"/>
        </w:rPr>
      </w:pPr>
      <w:bookmarkStart w:id="0" w:name="_Hlk131511986"/>
    </w:p>
    <w:p w14:paraId="479BD841" w14:textId="00D7C2FC" w:rsidR="00B70DFF" w:rsidRPr="00F21A98" w:rsidRDefault="00B70DFF" w:rsidP="00F21A98">
      <w:pPr>
        <w:pStyle w:val="Heading2"/>
        <w:pBdr>
          <w:bottom w:val="single" w:sz="4" w:space="1" w:color="auto"/>
        </w:pBdr>
        <w:rPr>
          <w:rFonts w:eastAsia="Times New Roman"/>
          <w:b/>
          <w:bCs/>
          <w:color w:val="A02069"/>
          <w:sz w:val="32"/>
          <w:szCs w:val="32"/>
          <w:lang w:eastAsia="en-GB"/>
        </w:rPr>
      </w:pPr>
      <w:r w:rsidRPr="00F21A98">
        <w:rPr>
          <w:rFonts w:eastAsia="Times New Roman"/>
          <w:b/>
          <w:bCs/>
          <w:color w:val="A02069"/>
          <w:sz w:val="32"/>
          <w:szCs w:val="32"/>
          <w:lang w:eastAsia="en-GB"/>
        </w:rPr>
        <w:t>About B</w:t>
      </w:r>
      <w:r w:rsidR="00E409D3" w:rsidRPr="00F21A98">
        <w:rPr>
          <w:rFonts w:eastAsia="Times New Roman"/>
          <w:b/>
          <w:bCs/>
          <w:color w:val="A02069"/>
          <w:sz w:val="32"/>
          <w:szCs w:val="32"/>
          <w:lang w:eastAsia="en-GB"/>
        </w:rPr>
        <w:t>eckenham Place Park</w:t>
      </w:r>
      <w:r w:rsidRPr="00F21A98">
        <w:rPr>
          <w:rFonts w:eastAsia="Times New Roman"/>
          <w:b/>
          <w:bCs/>
          <w:color w:val="A02069"/>
          <w:sz w:val="32"/>
          <w:szCs w:val="32"/>
          <w:lang w:eastAsia="en-GB"/>
        </w:rPr>
        <w:t xml:space="preserve"> </w:t>
      </w:r>
    </w:p>
    <w:p w14:paraId="3FE7F928" w14:textId="10CFEC68" w:rsidR="00A94A0D" w:rsidRPr="00E409D3" w:rsidRDefault="00E409D3" w:rsidP="00A94A0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Beckenham Place Park (</w:t>
      </w:r>
      <w:r w:rsidR="005D44F0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BPP</w:t>
      </w:r>
      <w:r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)</w:t>
      </w:r>
      <w:r w:rsidR="005D44F0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is a large</w:t>
      </w:r>
      <w:r w:rsidR="00BF6B96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outdoor venue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in south Lewisham</w:t>
      </w:r>
      <w:r w:rsidR="00715C8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r w:rsidR="009E382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boarding Bromley. W</w:t>
      </w:r>
      <w:r w:rsidR="00715C8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ith a 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total area of </w:t>
      </w:r>
      <w:r w:rsidR="00A94A0D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9</w:t>
      </w:r>
      <w:r w:rsidR="00715C8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6</w:t>
      </w:r>
      <w:r w:rsidR="00A94A0D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hectares</w:t>
      </w:r>
      <w:r w:rsidR="009E382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, it is a </w:t>
      </w:r>
      <w:proofErr w:type="spellStart"/>
      <w:r w:rsidR="001F65E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</w:t>
      </w:r>
      <w:proofErr w:type="spellEnd"/>
      <w:r w:rsidR="001F65E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r w:rsidR="00A94A0D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metropolitan protected area with ancient woodland and rich biodiversity. BPP is both a </w:t>
      </w:r>
      <w:r w:rsidR="00ED540D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community</w:t>
      </w:r>
      <w:r w:rsidR="00A94A0D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asse</w:t>
      </w:r>
      <w:r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</w:t>
      </w:r>
      <w:r w:rsidR="00A94A0D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and a destination for visitors travel</w:t>
      </w:r>
      <w:r w:rsidR="001F65E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ling f</w:t>
      </w:r>
      <w:r w:rsidR="00A94A0D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rom further afield</w:t>
      </w:r>
      <w:r w:rsidR="001F65E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, attracted by BPP’s beauty, the varied programme of events and the facilities available</w:t>
      </w:r>
      <w:r w:rsidR="00A94A0D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. </w:t>
      </w:r>
    </w:p>
    <w:p w14:paraId="4194A0CC" w14:textId="2EABEBA8" w:rsidR="009E3825" w:rsidRDefault="001F65EA" w:rsidP="00A94A0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Once past one of its </w:t>
      </w:r>
      <w:r w:rsidR="007B53B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10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gates,</w:t>
      </w:r>
      <w:r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visitors gain a </w:t>
      </w:r>
      <w:r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sense that they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are in a </w:t>
      </w:r>
      <w:r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rural landscape</w:t>
      </w:r>
      <w:r w:rsidR="009E382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, with no buildings on view, although the park itself is</w:t>
      </w:r>
      <w:r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r w:rsidR="009E382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well served by </w:t>
      </w:r>
      <w:hyperlink r:id="rId8" w:history="1">
        <w:r w:rsidR="009E3825" w:rsidRPr="009E3825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public transport</w:t>
        </w:r>
      </w:hyperlink>
      <w:r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.</w:t>
      </w:r>
    </w:p>
    <w:p w14:paraId="1831D495" w14:textId="029CF64B" w:rsidR="00A94A0D" w:rsidRPr="00E409D3" w:rsidRDefault="001F65EA" w:rsidP="00A94A0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 railway bisects t</w:t>
      </w:r>
      <w:r w:rsidR="00A94A0D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he park. To the West there is a </w:t>
      </w:r>
      <w:r w:rsidR="00ED540D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well-connected</w:t>
      </w:r>
      <w:r w:rsidR="00A94A0D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landscaped area, with heritage buildings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. T</w:t>
      </w:r>
      <w:r w:rsidR="00A94A0D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he visitor hub around the Homestead and Mansion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offer plentiful facilities and events throughout the year</w:t>
      </w:r>
      <w:r w:rsidR="00A94A0D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. </w:t>
      </w:r>
    </w:p>
    <w:p w14:paraId="66B63D40" w14:textId="18975CDF" w:rsidR="00A94A0D" w:rsidRDefault="007B53B0" w:rsidP="009F04F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The area to the east side is currently under renovation</w:t>
      </w:r>
      <w:r w:rsidR="00A94A0D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to bring new features</w:t>
      </w:r>
      <w:r w:rsidR="00F21A9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and under management by a contractor, Glendale. </w:t>
      </w:r>
      <w:r w:rsidR="00A94A0D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</w:p>
    <w:bookmarkEnd w:id="0"/>
    <w:p w14:paraId="0345860B" w14:textId="083BAFA9" w:rsidR="00B70DFF" w:rsidRPr="00F21A98" w:rsidRDefault="00B165B3" w:rsidP="00F21A98">
      <w:pPr>
        <w:pStyle w:val="Heading2"/>
        <w:pBdr>
          <w:bottom w:val="single" w:sz="4" w:space="1" w:color="auto"/>
        </w:pBdr>
        <w:rPr>
          <w:rFonts w:eastAsia="Times New Roman"/>
          <w:b/>
          <w:bCs/>
          <w:color w:val="A02069"/>
          <w:sz w:val="32"/>
          <w:szCs w:val="32"/>
          <w:lang w:eastAsia="en-GB"/>
        </w:rPr>
      </w:pPr>
      <w:r w:rsidRPr="00F21A98">
        <w:rPr>
          <w:rFonts w:eastAsia="Times New Roman"/>
          <w:b/>
          <w:bCs/>
          <w:color w:val="A02069"/>
          <w:sz w:val="32"/>
          <w:szCs w:val="32"/>
          <w:lang w:eastAsia="en-GB"/>
        </w:rPr>
        <w:t>E</w:t>
      </w:r>
      <w:r w:rsidR="00B70DFF" w:rsidRPr="00F21A98">
        <w:rPr>
          <w:rFonts w:eastAsia="Times New Roman"/>
          <w:b/>
          <w:bCs/>
          <w:color w:val="A02069"/>
          <w:sz w:val="32"/>
          <w:szCs w:val="32"/>
          <w:lang w:eastAsia="en-GB"/>
        </w:rPr>
        <w:t>vent areas</w:t>
      </w:r>
    </w:p>
    <w:p w14:paraId="3EDC196F" w14:textId="62C0B813" w:rsidR="00F21A98" w:rsidRDefault="00B70DFF" w:rsidP="009F04F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The </w:t>
      </w:r>
      <w:r w:rsidR="00A94A0D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event areas map shows the ma</w:t>
      </w:r>
      <w:r w:rsidR="00F21A9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in</w:t>
      </w:r>
      <w:r w:rsidR="00A94A0D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event areas</w:t>
      </w:r>
      <w:r w:rsidR="00F21A9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for ease of reference</w:t>
      </w:r>
      <w:r w:rsidR="00A94A0D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. The </w:t>
      </w:r>
      <w:r w:rsidR="00F21A9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‘</w:t>
      </w:r>
      <w:r w:rsidR="00A94A0D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licensed areas</w:t>
      </w:r>
      <w:r w:rsidR="00F21A9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’</w:t>
      </w:r>
      <w:r w:rsidR="00A94A0D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give an indication </w:t>
      </w:r>
      <w:r w:rsidR="00ED540D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of</w:t>
      </w:r>
      <w:r w:rsidR="00A94A0D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where licensed activities have been given permission</w:t>
      </w:r>
      <w:r w:rsidR="00F21A9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in the past</w:t>
      </w:r>
      <w:r w:rsidR="00A94A0D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. Eve</w:t>
      </w:r>
      <w:r w:rsidR="00F21A9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n</w:t>
      </w:r>
      <w:r w:rsidR="00A94A0D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t </w:t>
      </w:r>
      <w:r w:rsidR="00ED540D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organisers</w:t>
      </w:r>
      <w:r w:rsidR="00A94A0D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will </w:t>
      </w:r>
      <w:r w:rsidR="00ED540D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have</w:t>
      </w:r>
      <w:r w:rsidR="00A94A0D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to secure </w:t>
      </w:r>
      <w:r w:rsidR="00F21A9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their </w:t>
      </w:r>
      <w:r w:rsidR="00A94A0D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own license</w:t>
      </w:r>
      <w:r w:rsidR="00F21A9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,</w:t>
      </w:r>
      <w:r w:rsidR="00A94A0D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if </w:t>
      </w:r>
      <w:r w:rsidR="00ED540D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applicable</w:t>
      </w:r>
      <w:r w:rsidR="00A94A0D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.</w:t>
      </w:r>
      <w:r w:rsidR="00F21A9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</w:p>
    <w:bookmarkStart w:id="1" w:name="_Hlk131514240"/>
    <w:p w14:paraId="4CB736E7" w14:textId="33C16174" w:rsidR="00AC5864" w:rsidRDefault="00F84CE1" w:rsidP="009F04F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fldChar w:fldCharType="begin"/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instrText xml:space="preserve"> HYPERLINK "https://app.apply4.com/uploads/instance_document/file/3273/Event_areas_map_JAN_23.jpg" </w:instrTex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fldChar w:fldCharType="separate"/>
      </w:r>
      <w:r w:rsidRPr="00F84CE1">
        <w:rPr>
          <w:rStyle w:val="Hyperlink"/>
          <w:rFonts w:ascii="Arial" w:eastAsia="Times New Roman" w:hAnsi="Arial" w:cs="Arial"/>
          <w:sz w:val="24"/>
          <w:szCs w:val="24"/>
          <w:lang w:eastAsia="en-GB"/>
        </w:rPr>
        <w:t>E</w:t>
      </w:r>
      <w:r w:rsidR="00F21A98" w:rsidRPr="00F84CE1">
        <w:rPr>
          <w:rStyle w:val="Hyperlink"/>
          <w:rFonts w:ascii="Arial" w:eastAsia="Times New Roman" w:hAnsi="Arial" w:cs="Arial"/>
          <w:sz w:val="24"/>
          <w:szCs w:val="24"/>
          <w:lang w:eastAsia="en-GB"/>
        </w:rPr>
        <w:t>vent area</w:t>
      </w:r>
      <w:r w:rsidRPr="00F84CE1">
        <w:rPr>
          <w:rStyle w:val="Hyperlink"/>
          <w:rFonts w:ascii="Arial" w:eastAsia="Times New Roman" w:hAnsi="Arial" w:cs="Arial"/>
          <w:sz w:val="24"/>
          <w:szCs w:val="24"/>
          <w:lang w:eastAsia="en-GB"/>
        </w:rPr>
        <w:t xml:space="preserve"> map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fldChar w:fldCharType="end"/>
      </w:r>
    </w:p>
    <w:p w14:paraId="285049A6" w14:textId="6D13BA6E" w:rsidR="00D11CEB" w:rsidRDefault="00D11CEB" w:rsidP="009F04F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When completing the online application, event organisers can pin the event location on a google enabled map. They will still need to attach a site map at the end of the application in the documents section.    </w:t>
      </w:r>
    </w:p>
    <w:p w14:paraId="3170908F" w14:textId="7C031AF9" w:rsidR="003227CC" w:rsidRPr="003227CC" w:rsidRDefault="00AC5864" w:rsidP="003227C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Lighting for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night time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events need to consider conservation. </w:t>
      </w:r>
      <w:r w:rsidR="00D11CEB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For example, no lighting up trees.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</w:p>
    <w:p w14:paraId="4A30EE9A" w14:textId="77777777" w:rsidR="003227CC" w:rsidRPr="00E409D3" w:rsidRDefault="003227CC" w:rsidP="009F04F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bookmarkEnd w:id="1"/>
    <w:p w14:paraId="0D652468" w14:textId="0BE174F7" w:rsidR="00517746" w:rsidRPr="00F21A98" w:rsidRDefault="00B70DFF" w:rsidP="00F21A98">
      <w:pPr>
        <w:pStyle w:val="Heading2"/>
        <w:pBdr>
          <w:bottom w:val="single" w:sz="4" w:space="1" w:color="auto"/>
        </w:pBdr>
        <w:rPr>
          <w:rFonts w:eastAsia="Times New Roman"/>
          <w:b/>
          <w:bCs/>
          <w:color w:val="A02069"/>
          <w:sz w:val="32"/>
          <w:szCs w:val="32"/>
          <w:lang w:eastAsia="en-GB"/>
        </w:rPr>
      </w:pPr>
      <w:r w:rsidRPr="00F21A98">
        <w:rPr>
          <w:rFonts w:eastAsia="Times New Roman"/>
          <w:b/>
          <w:bCs/>
          <w:color w:val="A02069"/>
          <w:sz w:val="32"/>
          <w:szCs w:val="32"/>
          <w:lang w:eastAsia="en-GB"/>
        </w:rPr>
        <w:t xml:space="preserve">Type of events </w:t>
      </w:r>
    </w:p>
    <w:p w14:paraId="274D9BC1" w14:textId="61C3E495" w:rsidR="00A94A0D" w:rsidRPr="00E409D3" w:rsidRDefault="00A94A0D" w:rsidP="009F04F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At BPP we are conscious of </w:t>
      </w:r>
      <w:r w:rsidR="00ED540D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protecting</w:t>
      </w:r>
      <w:r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the </w:t>
      </w:r>
      <w:r w:rsidR="00ED540D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sanctity</w:t>
      </w:r>
      <w:r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of the natural </w:t>
      </w:r>
      <w:r w:rsidR="00ED540D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landscape</w:t>
      </w:r>
      <w:r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which so </w:t>
      </w:r>
      <w:r w:rsidR="00ED540D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benefits</w:t>
      </w:r>
      <w:r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the local area and attracts visitor</w:t>
      </w:r>
      <w:r w:rsidR="00F21A9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s from </w:t>
      </w:r>
      <w:r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all over </w:t>
      </w:r>
      <w:r w:rsidR="00F21A9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London and </w:t>
      </w:r>
      <w:r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the S</w:t>
      </w:r>
      <w:r w:rsidR="00F21A9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outheast. As a diverse borough, Lewisham Council, also aims to </w:t>
      </w:r>
      <w:r w:rsidR="00B165B3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offer a variety </w:t>
      </w:r>
      <w:r w:rsidR="00ED540D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of</w:t>
      </w:r>
      <w:r w:rsidR="00B165B3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events catering to different </w:t>
      </w:r>
      <w:r w:rsidR="00ED540D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groups</w:t>
      </w:r>
      <w:r w:rsidR="00F21A9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.</w:t>
      </w:r>
      <w:r w:rsidR="00B165B3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r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</w:p>
    <w:p w14:paraId="75F8D1DD" w14:textId="1F1F0045" w:rsidR="00B165B3" w:rsidRPr="00E409D3" w:rsidRDefault="00ED540D" w:rsidP="009F04F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There</w:t>
      </w:r>
      <w:r w:rsidR="00A94A0D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is limited opportunity for </w:t>
      </w:r>
      <w:r w:rsidR="00F21A9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major</w:t>
      </w:r>
      <w:r w:rsidR="00A94A0D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events</w:t>
      </w:r>
      <w:r w:rsidR="00F21A9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in BPP</w:t>
      </w:r>
      <w:r w:rsidR="00A94A0D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. Most eve</w:t>
      </w:r>
      <w:r w:rsidR="00F21A9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nts hosted in BPP </w:t>
      </w:r>
      <w:r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are</w:t>
      </w:r>
      <w:r w:rsidR="00A94A0D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small to medium sized. The venue is </w:t>
      </w:r>
      <w:r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particularly</w:t>
      </w:r>
      <w:r w:rsidR="00A94A0D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suited to </w:t>
      </w:r>
      <w:r w:rsidR="00B165B3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cultural eve</w:t>
      </w:r>
      <w:r w:rsidR="00F21A9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n</w:t>
      </w:r>
      <w:r w:rsidR="00B165B3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ts, market</w:t>
      </w:r>
      <w:r w:rsidR="00F21A9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</w:t>
      </w:r>
      <w:r w:rsidR="00B165B3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and food or wellbeing </w:t>
      </w:r>
      <w:r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festivals</w:t>
      </w:r>
      <w:r w:rsidR="00F21A9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.</w:t>
      </w:r>
      <w:r w:rsidR="00B165B3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bookmarkStart w:id="2" w:name="_Hlk131514626"/>
    </w:p>
    <w:p w14:paraId="26A12E5F" w14:textId="6CCECB5D" w:rsidR="00B165B3" w:rsidRPr="00E409D3" w:rsidRDefault="00B165B3" w:rsidP="009F04F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It is also the perfect venue for corporate </w:t>
      </w:r>
      <w:r w:rsidR="00ED540D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events</w:t>
      </w:r>
      <w:r w:rsidR="009E689F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, with both secluded and accessible areas available with beautiful backdrops</w:t>
      </w:r>
      <w:bookmarkEnd w:id="2"/>
      <w:r w:rsidR="009E689F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. </w:t>
      </w:r>
    </w:p>
    <w:p w14:paraId="78500DF1" w14:textId="01298D05" w:rsidR="00A94A0D" w:rsidRDefault="009E689F" w:rsidP="009F04F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C</w:t>
      </w:r>
      <w:r w:rsidR="00ED540D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ommunity</w:t>
      </w:r>
      <w:r w:rsidR="00B165B3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eve</w:t>
      </w:r>
      <w:r w:rsidR="00F21A9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nts and initiatives </w:t>
      </w:r>
      <w:r w:rsidR="00B165B3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are </w:t>
      </w:r>
      <w:r w:rsidR="00ED540D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encouraged</w:t>
      </w:r>
      <w:r w:rsidR="00B165B3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, </w:t>
      </w:r>
      <w:r w:rsidR="00F21A9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as are </w:t>
      </w:r>
      <w:r w:rsidR="00B165B3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sports eve</w:t>
      </w:r>
      <w:r w:rsidR="00F21A9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n</w:t>
      </w:r>
      <w:r w:rsidR="00B165B3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ts</w:t>
      </w:r>
      <w:r w:rsidR="00F21A9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.</w:t>
      </w:r>
      <w:r w:rsidR="00B165B3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</w:p>
    <w:p w14:paraId="0CCA002E" w14:textId="77777777" w:rsidR="00D11CEB" w:rsidRPr="00E409D3" w:rsidRDefault="00D11CEB" w:rsidP="009F04F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773F53A1" w14:textId="00C1B70B" w:rsidR="009E689F" w:rsidRDefault="009E689F" w:rsidP="00AC5864">
      <w:pPr>
        <w:pStyle w:val="Heading2"/>
        <w:pBdr>
          <w:bottom w:val="single" w:sz="4" w:space="1" w:color="auto"/>
        </w:pBdr>
        <w:rPr>
          <w:rFonts w:eastAsia="Times New Roman"/>
          <w:b/>
          <w:bCs/>
          <w:color w:val="A02069"/>
          <w:sz w:val="32"/>
          <w:szCs w:val="32"/>
          <w:lang w:eastAsia="en-GB"/>
        </w:rPr>
      </w:pPr>
      <w:r w:rsidRPr="009E689F">
        <w:rPr>
          <w:rFonts w:eastAsia="Times New Roman"/>
          <w:b/>
          <w:bCs/>
          <w:color w:val="A02069"/>
          <w:sz w:val="32"/>
          <w:szCs w:val="32"/>
          <w:lang w:eastAsia="en-GB"/>
        </w:rPr>
        <w:t xml:space="preserve">Licensable activities </w:t>
      </w:r>
    </w:p>
    <w:p w14:paraId="3A1EC893" w14:textId="4B5A8B3B" w:rsidR="009E689F" w:rsidRDefault="009E689F" w:rsidP="009E689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Whilst BPP are the landowner and its permission is required to run events in BPP, event organisers are responsible for </w:t>
      </w:r>
      <w:r w:rsidR="00B909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applying for their 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own license. Please contact the </w:t>
      </w:r>
      <w:hyperlink r:id="rId9" w:history="1">
        <w:r w:rsidRPr="009E689F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licensing department</w:t>
        </w:r>
      </w:hyperlink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. </w:t>
      </w:r>
      <w:r w:rsidR="00B909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Other charges may apply. 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</w:p>
    <w:p w14:paraId="5F01E2A9" w14:textId="168A2B56" w:rsidR="009E689F" w:rsidRDefault="009E689F" w:rsidP="009E689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If a license is not required, but there is background music, a noise management questionnaire will need to be completed.</w:t>
      </w:r>
    </w:p>
    <w:p w14:paraId="04A99B50" w14:textId="22C7A353" w:rsidR="009E689F" w:rsidRPr="003227CC" w:rsidRDefault="009E689F" w:rsidP="00AC5864">
      <w:pPr>
        <w:pBdr>
          <w:bottom w:val="single" w:sz="4" w:space="1" w:color="auto"/>
        </w:pBdr>
        <w:shd w:val="clear" w:color="auto" w:fill="FFFFFF"/>
        <w:spacing w:line="240" w:lineRule="auto"/>
        <w:rPr>
          <w:rFonts w:asciiTheme="majorHAnsi" w:eastAsia="Times New Roman" w:hAnsiTheme="majorHAnsi" w:cstheme="majorHAnsi"/>
          <w:b/>
          <w:bCs/>
          <w:color w:val="A02069"/>
          <w:sz w:val="32"/>
          <w:szCs w:val="32"/>
          <w:lang w:eastAsia="en-GB"/>
        </w:rPr>
      </w:pPr>
      <w:r w:rsidRPr="003227CC">
        <w:rPr>
          <w:rFonts w:asciiTheme="majorHAnsi" w:eastAsia="Times New Roman" w:hAnsiTheme="majorHAnsi" w:cstheme="majorHAnsi"/>
          <w:b/>
          <w:bCs/>
          <w:color w:val="A02069"/>
          <w:sz w:val="32"/>
          <w:szCs w:val="32"/>
          <w:lang w:eastAsia="en-GB"/>
        </w:rPr>
        <w:t xml:space="preserve">Food &amp; Drink </w:t>
      </w:r>
    </w:p>
    <w:p w14:paraId="78FACAF3" w14:textId="0DF6A97E" w:rsidR="009E689F" w:rsidRDefault="009E689F" w:rsidP="009E689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The park has two </w:t>
      </w:r>
      <w:r w:rsidR="003227CC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resident 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café bars serving food and beverage. Surplus food and drinks provision outdoors is limited. </w:t>
      </w:r>
    </w:p>
    <w:p w14:paraId="3CA3CC91" w14:textId="3DF9C1C9" w:rsidR="00BF6B96" w:rsidRPr="00E409D3" w:rsidRDefault="009E689F" w:rsidP="009F04F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In the event of food/drink stalls being part of the event</w:t>
      </w:r>
      <w:r w:rsidR="003227CC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, details for each trader will need to be provided to the environmental health department.</w:t>
      </w:r>
    </w:p>
    <w:p w14:paraId="11D29F05" w14:textId="77777777" w:rsidR="003227CC" w:rsidRPr="003227CC" w:rsidRDefault="003227CC" w:rsidP="00AC5864">
      <w:pPr>
        <w:pBdr>
          <w:bottom w:val="single" w:sz="4" w:space="1" w:color="auto"/>
        </w:pBdr>
        <w:shd w:val="clear" w:color="auto" w:fill="FFFFFF"/>
        <w:spacing w:line="240" w:lineRule="auto"/>
        <w:rPr>
          <w:rFonts w:asciiTheme="majorHAnsi" w:eastAsia="Times New Roman" w:hAnsiTheme="majorHAnsi" w:cstheme="majorHAnsi"/>
          <w:b/>
          <w:bCs/>
          <w:color w:val="A02069"/>
          <w:sz w:val="32"/>
          <w:szCs w:val="32"/>
          <w:lang w:eastAsia="en-GB"/>
        </w:rPr>
      </w:pPr>
      <w:r w:rsidRPr="003227CC">
        <w:rPr>
          <w:rFonts w:asciiTheme="majorHAnsi" w:eastAsia="Times New Roman" w:hAnsiTheme="majorHAnsi" w:cstheme="majorHAnsi"/>
          <w:b/>
          <w:bCs/>
          <w:color w:val="A02069"/>
          <w:sz w:val="32"/>
          <w:szCs w:val="32"/>
          <w:lang w:eastAsia="en-GB"/>
        </w:rPr>
        <w:t>Travel</w:t>
      </w:r>
    </w:p>
    <w:p w14:paraId="6402C93D" w14:textId="78AD7070" w:rsidR="003227CC" w:rsidRDefault="003227CC" w:rsidP="003227C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Event organisers should promote sustainable means of transport where possible and provide appropriate signage and stewarding. Please use </w:t>
      </w:r>
      <w:hyperlink r:id="rId10" w:history="1">
        <w:r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this link</w:t>
        </w:r>
      </w:hyperlink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for details</w:t>
      </w:r>
      <w:r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.</w:t>
      </w:r>
    </w:p>
    <w:p w14:paraId="43809CF8" w14:textId="77777777" w:rsidR="00A72031" w:rsidRDefault="00A72031" w:rsidP="003227C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670CCAEC" w14:textId="28E1E700" w:rsidR="00A72031" w:rsidRPr="003227CC" w:rsidRDefault="00A72031" w:rsidP="00A72031">
      <w:pPr>
        <w:pBdr>
          <w:bottom w:val="single" w:sz="4" w:space="1" w:color="auto"/>
        </w:pBdr>
        <w:shd w:val="clear" w:color="auto" w:fill="FFFFFF"/>
        <w:spacing w:line="240" w:lineRule="auto"/>
        <w:rPr>
          <w:rFonts w:asciiTheme="majorHAnsi" w:eastAsia="Times New Roman" w:hAnsiTheme="majorHAnsi" w:cstheme="majorHAnsi"/>
          <w:b/>
          <w:bCs/>
          <w:color w:val="A02069"/>
          <w:sz w:val="32"/>
          <w:szCs w:val="32"/>
          <w:lang w:eastAsia="en-GB"/>
        </w:rPr>
      </w:pPr>
      <w:r>
        <w:rPr>
          <w:rFonts w:asciiTheme="majorHAnsi" w:eastAsia="Times New Roman" w:hAnsiTheme="majorHAnsi" w:cstheme="majorHAnsi"/>
          <w:b/>
          <w:bCs/>
          <w:color w:val="A02069"/>
          <w:sz w:val="32"/>
          <w:szCs w:val="32"/>
          <w:lang w:eastAsia="en-GB"/>
        </w:rPr>
        <w:t>Access</w:t>
      </w:r>
    </w:p>
    <w:p w14:paraId="648B08B9" w14:textId="3770A037" w:rsidR="003227CC" w:rsidRDefault="00AC5864" w:rsidP="003227C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Vehicle access </w:t>
      </w:r>
      <w:r w:rsidR="003227CC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is 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via </w:t>
      </w:r>
      <w:r w:rsidR="003227CC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Beckenham Hill Road gate. </w:t>
      </w:r>
    </w:p>
    <w:p w14:paraId="5FA1BFEC" w14:textId="4E277664" w:rsidR="00A72031" w:rsidRPr="00E409D3" w:rsidRDefault="00A72031" w:rsidP="00A7203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No v</w:t>
      </w:r>
      <w:r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ehicles authorised on 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the grass. </w:t>
      </w:r>
    </w:p>
    <w:p w14:paraId="65E4D613" w14:textId="5B4CA271" w:rsidR="00A72031" w:rsidRDefault="00A72031" w:rsidP="00A7203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 </w:t>
      </w:r>
    </w:p>
    <w:p w14:paraId="0992EF3F" w14:textId="3C944C78" w:rsidR="00517746" w:rsidRPr="003227CC" w:rsidRDefault="005D44F0" w:rsidP="00AC5864">
      <w:pPr>
        <w:pStyle w:val="Heading2"/>
        <w:pBdr>
          <w:bottom w:val="single" w:sz="4" w:space="1" w:color="auto"/>
        </w:pBdr>
        <w:rPr>
          <w:rFonts w:eastAsia="Times New Roman"/>
          <w:b/>
          <w:bCs/>
          <w:color w:val="A02069"/>
          <w:sz w:val="32"/>
          <w:szCs w:val="32"/>
          <w:lang w:eastAsia="en-GB"/>
        </w:rPr>
      </w:pPr>
      <w:r w:rsidRPr="003227CC">
        <w:rPr>
          <w:rFonts w:eastAsia="Times New Roman"/>
          <w:b/>
          <w:bCs/>
          <w:color w:val="A02069"/>
          <w:sz w:val="32"/>
          <w:szCs w:val="32"/>
          <w:lang w:eastAsia="en-GB"/>
        </w:rPr>
        <w:t xml:space="preserve">Considerations </w:t>
      </w:r>
    </w:p>
    <w:p w14:paraId="51FD6678" w14:textId="65EDD55D" w:rsidR="00B165B3" w:rsidRPr="00E409D3" w:rsidRDefault="00B165B3" w:rsidP="009F04F5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</w:pPr>
      <w:r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Practical </w:t>
      </w:r>
      <w:r w:rsidR="00AC5864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aspects to </w:t>
      </w:r>
      <w:r w:rsidR="00ED540D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consider</w:t>
      </w:r>
      <w:r w:rsidR="00AC5864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i</w:t>
      </w:r>
      <w:r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n your application</w:t>
      </w:r>
      <w:r w:rsidR="003227CC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:</w:t>
      </w:r>
      <w:r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</w:p>
    <w:p w14:paraId="17E39FE8" w14:textId="18B80D80" w:rsidR="00AC5864" w:rsidRDefault="00AC5864" w:rsidP="003227CC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Is the event a good fit for BPP? </w:t>
      </w:r>
    </w:p>
    <w:p w14:paraId="400F32CF" w14:textId="3733A447" w:rsidR="00B165B3" w:rsidRDefault="00B165B3" w:rsidP="003227CC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3227CC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A </w:t>
      </w:r>
      <w:proofErr w:type="spellStart"/>
      <w:r w:rsidR="00AC5864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well considered</w:t>
      </w:r>
      <w:proofErr w:type="spellEnd"/>
      <w:r w:rsidR="00AC5864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, </w:t>
      </w:r>
      <w:r w:rsidRPr="003227CC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safe </w:t>
      </w:r>
      <w:r w:rsidR="003227CC" w:rsidRPr="003227CC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event, including </w:t>
      </w:r>
      <w:r w:rsidR="00AC5864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first aid provision, </w:t>
      </w:r>
      <w:r w:rsidR="003227CC" w:rsidRPr="003227CC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ingress and egress</w:t>
      </w:r>
    </w:p>
    <w:p w14:paraId="1E20C159" w14:textId="201FAF1B" w:rsidR="003227CC" w:rsidRDefault="00AC5864" w:rsidP="003227CC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lastRenderedPageBreak/>
        <w:t>Appropriate r</w:t>
      </w:r>
      <w:r w:rsidR="003227CC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esourc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ing, including</w:t>
      </w:r>
      <w:r w:rsidR="003227CC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stewards at the events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and</w:t>
      </w:r>
      <w:r w:rsidR="003227CC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main</w:t>
      </w:r>
      <w:r w:rsidR="003227CC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gates 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as appropriate</w:t>
      </w:r>
    </w:p>
    <w:p w14:paraId="5162C886" w14:textId="0EF03125" w:rsidR="003227CC" w:rsidRDefault="003227CC" w:rsidP="003227CC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Consideration for local residents </w:t>
      </w:r>
      <w:r w:rsidR="00AC5864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– noise, car parking </w:t>
      </w:r>
    </w:p>
    <w:p w14:paraId="6867A0ED" w14:textId="7AE35B9F" w:rsidR="00D11CEB" w:rsidRPr="00D11CEB" w:rsidRDefault="00A72031" w:rsidP="00D11CEB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Is it attracting an audience likely to drive to the park, and if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so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what mitigation measures can you put on place? </w:t>
      </w:r>
    </w:p>
    <w:p w14:paraId="7499AF0F" w14:textId="73F2AEC6" w:rsidR="00AC5864" w:rsidRDefault="00AC5864" w:rsidP="00AC586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When accessing applications, </w:t>
      </w:r>
      <w:r w:rsidR="00A7203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LBL 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officer</w:t>
      </w:r>
      <w:r w:rsidR="00A7203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 also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take into consideration the i</w:t>
      </w:r>
      <w:r w:rsidRPr="00AC5864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mpact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the event may </w:t>
      </w:r>
      <w:r w:rsidR="00A7203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have 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on other park users and the resident businesses</w:t>
      </w:r>
      <w:r w:rsidR="00A7203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. </w:t>
      </w:r>
    </w:p>
    <w:p w14:paraId="4027DBD7" w14:textId="26F1F8BD" w:rsidR="00A72031" w:rsidRPr="00AC5864" w:rsidRDefault="00A72031" w:rsidP="00AC586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Some events need to go to the ESAG</w:t>
      </w:r>
      <w:r w:rsidR="00F84CE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and may require consultation or notices put up in the park. </w:t>
      </w:r>
    </w:p>
    <w:p w14:paraId="769954FF" w14:textId="77777777" w:rsidR="00AC5864" w:rsidRDefault="00AC5864" w:rsidP="00C0408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35344951" w14:textId="7D04DAE4" w:rsidR="00A72031" w:rsidRPr="00D11CEB" w:rsidRDefault="00A72031" w:rsidP="00A72031">
      <w:pPr>
        <w:pBdr>
          <w:bottom w:val="single" w:sz="4" w:space="1" w:color="auto"/>
        </w:pBdr>
        <w:spacing w:after="0" w:line="240" w:lineRule="auto"/>
        <w:rPr>
          <w:rFonts w:asciiTheme="majorHAnsi" w:eastAsia="Times New Roman" w:hAnsiTheme="majorHAnsi" w:cstheme="majorHAnsi"/>
          <w:b/>
          <w:bCs/>
          <w:color w:val="A02069"/>
          <w:sz w:val="32"/>
          <w:szCs w:val="32"/>
          <w:lang w:eastAsia="en-GB"/>
        </w:rPr>
      </w:pPr>
      <w:r w:rsidRPr="00D11CEB">
        <w:rPr>
          <w:rFonts w:asciiTheme="majorHAnsi" w:eastAsia="Times New Roman" w:hAnsiTheme="majorHAnsi" w:cstheme="majorHAnsi"/>
          <w:b/>
          <w:bCs/>
          <w:color w:val="A02069"/>
          <w:sz w:val="32"/>
          <w:szCs w:val="32"/>
          <w:lang w:eastAsia="en-GB"/>
        </w:rPr>
        <w:t xml:space="preserve">Social Value </w:t>
      </w:r>
    </w:p>
    <w:p w14:paraId="6CEC6012" w14:textId="505B519A" w:rsidR="00AC5864" w:rsidRDefault="00AC5864" w:rsidP="00C0408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BPP seek to encourage all partners to </w:t>
      </w:r>
      <w:r w:rsidR="00A7203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contribute in other ways to the lo</w:t>
      </w:r>
      <w:r w:rsidR="00D11CEB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c</w:t>
      </w:r>
      <w:r w:rsidR="00A7203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al community, t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his </w:t>
      </w:r>
      <w:r w:rsidR="00A7203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might </w:t>
      </w:r>
      <w:r w:rsidR="00F84CE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include</w:t>
      </w:r>
      <w:r w:rsidR="00A7203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recruiting locally, paying the </w:t>
      </w:r>
      <w:r w:rsidR="00A7203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London Minimum Living Wage, 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being welcoming and </w:t>
      </w:r>
      <w:r w:rsidR="00A7203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inclusive, practicing fair prices. </w:t>
      </w:r>
    </w:p>
    <w:p w14:paraId="415823CE" w14:textId="77777777" w:rsidR="00AC5864" w:rsidRDefault="00AC5864" w:rsidP="00C0408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0EBF5E25" w14:textId="77777777" w:rsidR="00D11CEB" w:rsidRDefault="00D11CEB" w:rsidP="00C0408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43FDC787" w14:textId="77777777" w:rsidR="00B9090A" w:rsidRPr="003227CC" w:rsidRDefault="00B9090A" w:rsidP="00B9090A">
      <w:pPr>
        <w:pBdr>
          <w:bottom w:val="single" w:sz="4" w:space="1" w:color="auto"/>
        </w:pBdr>
        <w:shd w:val="clear" w:color="auto" w:fill="FFFFFF"/>
        <w:spacing w:line="240" w:lineRule="auto"/>
        <w:rPr>
          <w:rFonts w:asciiTheme="majorHAnsi" w:eastAsia="Times New Roman" w:hAnsiTheme="majorHAnsi" w:cstheme="majorHAnsi"/>
          <w:b/>
          <w:bCs/>
          <w:color w:val="A02069"/>
          <w:sz w:val="32"/>
          <w:szCs w:val="32"/>
          <w:lang w:eastAsia="en-GB"/>
        </w:rPr>
      </w:pPr>
      <w:r>
        <w:rPr>
          <w:rFonts w:asciiTheme="majorHAnsi" w:eastAsia="Times New Roman" w:hAnsiTheme="majorHAnsi" w:cstheme="majorHAnsi"/>
          <w:b/>
          <w:bCs/>
          <w:color w:val="A02069"/>
          <w:sz w:val="32"/>
          <w:szCs w:val="32"/>
          <w:lang w:eastAsia="en-GB"/>
        </w:rPr>
        <w:t xml:space="preserve">What is required of the </w:t>
      </w:r>
      <w:proofErr w:type="gramStart"/>
      <w:r>
        <w:rPr>
          <w:rFonts w:asciiTheme="majorHAnsi" w:eastAsia="Times New Roman" w:hAnsiTheme="majorHAnsi" w:cstheme="majorHAnsi"/>
          <w:b/>
          <w:bCs/>
          <w:color w:val="A02069"/>
          <w:sz w:val="32"/>
          <w:szCs w:val="32"/>
          <w:lang w:eastAsia="en-GB"/>
        </w:rPr>
        <w:t>organiser</w:t>
      </w:r>
      <w:proofErr w:type="gramEnd"/>
    </w:p>
    <w:p w14:paraId="79DC56E3" w14:textId="7345AE7C" w:rsidR="00B9090A" w:rsidRPr="00E409D3" w:rsidRDefault="00B9090A" w:rsidP="00B9090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D11CEB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It is the</w:t>
      </w:r>
      <w:r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organiser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’s </w:t>
      </w:r>
      <w:r w:rsidR="00F84CE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responsibility</w:t>
      </w:r>
      <w:r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, to ensure adequate provision of public toilets/ portals at the event. BPP has a small number of public toilets, and you must take into careful consideration how many toilets you will need, based upon how many people there will be attending your event. </w:t>
      </w:r>
    </w:p>
    <w:p w14:paraId="14FE424C" w14:textId="77777777" w:rsidR="00B9090A" w:rsidRPr="00E409D3" w:rsidRDefault="00B9090A" w:rsidP="00B9090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79420C96" w14:textId="3584DFAE" w:rsidR="00B9090A" w:rsidRPr="00E409D3" w:rsidRDefault="00B9090A" w:rsidP="00B9090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F84CE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See </w:t>
      </w:r>
      <w:hyperlink r:id="rId11" w:history="1">
        <w:r w:rsidRPr="00F84CE1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guide</w:t>
        </w:r>
      </w:hyperlink>
      <w:r w:rsidRPr="00F84CE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for guidance</w:t>
      </w:r>
    </w:p>
    <w:p w14:paraId="40C1552C" w14:textId="77777777" w:rsidR="00B9090A" w:rsidRDefault="00B9090A" w:rsidP="00D11CEB">
      <w:pPr>
        <w:pBdr>
          <w:bottom w:val="single" w:sz="4" w:space="1" w:color="auto"/>
        </w:pBdr>
        <w:shd w:val="clear" w:color="auto" w:fill="FFFFFF"/>
        <w:spacing w:line="240" w:lineRule="auto"/>
        <w:rPr>
          <w:rFonts w:asciiTheme="majorHAnsi" w:eastAsia="Times New Roman" w:hAnsiTheme="majorHAnsi" w:cstheme="majorHAnsi"/>
          <w:b/>
          <w:bCs/>
          <w:color w:val="A02069"/>
          <w:sz w:val="32"/>
          <w:szCs w:val="32"/>
          <w:lang w:eastAsia="en-GB"/>
        </w:rPr>
      </w:pPr>
    </w:p>
    <w:p w14:paraId="2FE884A9" w14:textId="2915B4AF" w:rsidR="00D11CEB" w:rsidRPr="003227CC" w:rsidRDefault="00D11CEB" w:rsidP="00D11CEB">
      <w:pPr>
        <w:pBdr>
          <w:bottom w:val="single" w:sz="4" w:space="1" w:color="auto"/>
        </w:pBdr>
        <w:shd w:val="clear" w:color="auto" w:fill="FFFFFF"/>
        <w:spacing w:line="240" w:lineRule="auto"/>
        <w:rPr>
          <w:rFonts w:asciiTheme="majorHAnsi" w:eastAsia="Times New Roman" w:hAnsiTheme="majorHAnsi" w:cstheme="majorHAnsi"/>
          <w:b/>
          <w:bCs/>
          <w:color w:val="A02069"/>
          <w:sz w:val="32"/>
          <w:szCs w:val="32"/>
          <w:lang w:eastAsia="en-GB"/>
        </w:rPr>
      </w:pPr>
      <w:r>
        <w:rPr>
          <w:rFonts w:asciiTheme="majorHAnsi" w:eastAsia="Times New Roman" w:hAnsiTheme="majorHAnsi" w:cstheme="majorHAnsi"/>
          <w:b/>
          <w:bCs/>
          <w:color w:val="A02069"/>
          <w:sz w:val="32"/>
          <w:szCs w:val="32"/>
          <w:lang w:eastAsia="en-GB"/>
        </w:rPr>
        <w:t>Application Timeline</w:t>
      </w:r>
    </w:p>
    <w:p w14:paraId="4C7F12F7" w14:textId="753D92E6" w:rsidR="00C04080" w:rsidRPr="00E409D3" w:rsidRDefault="00B165B3" w:rsidP="00C0408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Please note there are minimum lead time</w:t>
      </w:r>
      <w:r w:rsidR="00D11CEB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</w:t>
      </w:r>
      <w:r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to </w:t>
      </w:r>
      <w:r w:rsidR="00ED540D"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consider</w:t>
      </w:r>
      <w:r w:rsidR="00D11CEB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. The larger and/or more complex the event, the more time is required to appraise applications. </w:t>
      </w:r>
      <w:r w:rsidR="00B909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Smaller events still require a minimum lead time. </w:t>
      </w:r>
      <w:hyperlink r:id="rId12" w:history="1">
        <w:r w:rsidR="00B9090A" w:rsidRPr="00F84CE1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Click here</w:t>
        </w:r>
      </w:hyperlink>
      <w:r w:rsidR="00B9090A" w:rsidRPr="00F84CE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for details</w:t>
      </w:r>
    </w:p>
    <w:p w14:paraId="0295E7C7" w14:textId="51478911" w:rsidR="00A95439" w:rsidRDefault="00A95439" w:rsidP="009F04F5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</w:pPr>
    </w:p>
    <w:p w14:paraId="1271FA9C" w14:textId="3E62C96D" w:rsidR="00B9090A" w:rsidRPr="003227CC" w:rsidRDefault="00B9090A" w:rsidP="00B9090A">
      <w:pPr>
        <w:pBdr>
          <w:bottom w:val="single" w:sz="4" w:space="1" w:color="auto"/>
        </w:pBdr>
        <w:shd w:val="clear" w:color="auto" w:fill="FFFFFF"/>
        <w:spacing w:line="240" w:lineRule="auto"/>
        <w:rPr>
          <w:rFonts w:asciiTheme="majorHAnsi" w:eastAsia="Times New Roman" w:hAnsiTheme="majorHAnsi" w:cstheme="majorHAnsi"/>
          <w:b/>
          <w:bCs/>
          <w:color w:val="A02069"/>
          <w:sz w:val="32"/>
          <w:szCs w:val="32"/>
          <w:lang w:eastAsia="en-GB"/>
        </w:rPr>
      </w:pPr>
      <w:r>
        <w:rPr>
          <w:rFonts w:asciiTheme="majorHAnsi" w:eastAsia="Times New Roman" w:hAnsiTheme="majorHAnsi" w:cstheme="majorHAnsi"/>
          <w:b/>
          <w:bCs/>
          <w:color w:val="A02069"/>
          <w:sz w:val="32"/>
          <w:szCs w:val="32"/>
          <w:lang w:eastAsia="en-GB"/>
        </w:rPr>
        <w:t xml:space="preserve">Charges </w:t>
      </w:r>
    </w:p>
    <w:p w14:paraId="30E36966" w14:textId="77777777" w:rsidR="00B9090A" w:rsidRDefault="00B9090A" w:rsidP="00B9090A">
      <w:pPr>
        <w:spacing w:before="300"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All a</w:t>
      </w:r>
      <w:r w:rsidRPr="00E409D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pplications are subject to a non-refundable application fee that will be charged whether your event goes ahead or not. The price of the application fee varies depending on the size of 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the event. </w:t>
      </w:r>
    </w:p>
    <w:p w14:paraId="1F4F39F6" w14:textId="77777777" w:rsidR="00B9090A" w:rsidRPr="00F84CE1" w:rsidRDefault="00B9090A" w:rsidP="00B9090A">
      <w:pPr>
        <w:spacing w:before="300"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F84CE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These fees are detailed in the Event App page. Other park </w:t>
      </w:r>
      <w:proofErr w:type="gramStart"/>
      <w:r w:rsidRPr="00F84CE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hire</w:t>
      </w:r>
      <w:proofErr w:type="gramEnd"/>
      <w:r w:rsidRPr="00F84CE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fees apply. A full quote will be given upon assessment of the application. </w:t>
      </w:r>
    </w:p>
    <w:p w14:paraId="3D6F45EB" w14:textId="77777777" w:rsidR="00B9090A" w:rsidRDefault="00B9090A" w:rsidP="00B9090A">
      <w:pPr>
        <w:spacing w:before="300"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highlight w:val="yellow"/>
          <w:lang w:eastAsia="en-GB"/>
        </w:rPr>
      </w:pPr>
    </w:p>
    <w:p w14:paraId="40623402" w14:textId="77777777" w:rsidR="00B9090A" w:rsidRDefault="00B9090A" w:rsidP="009F04F5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</w:pPr>
    </w:p>
    <w:p w14:paraId="72E6AAF2" w14:textId="77777777" w:rsidR="00B9090A" w:rsidRPr="003227CC" w:rsidRDefault="00B9090A" w:rsidP="00B9090A">
      <w:pPr>
        <w:pBdr>
          <w:bottom w:val="single" w:sz="4" w:space="1" w:color="auto"/>
        </w:pBdr>
        <w:shd w:val="clear" w:color="auto" w:fill="FFFFFF"/>
        <w:spacing w:line="240" w:lineRule="auto"/>
        <w:rPr>
          <w:rFonts w:asciiTheme="majorHAnsi" w:eastAsia="Times New Roman" w:hAnsiTheme="majorHAnsi" w:cstheme="majorHAnsi"/>
          <w:b/>
          <w:bCs/>
          <w:color w:val="A02069"/>
          <w:sz w:val="32"/>
          <w:szCs w:val="32"/>
          <w:lang w:eastAsia="en-GB"/>
        </w:rPr>
      </w:pPr>
      <w:r>
        <w:rPr>
          <w:rFonts w:asciiTheme="majorHAnsi" w:eastAsia="Times New Roman" w:hAnsiTheme="majorHAnsi" w:cstheme="majorHAnsi"/>
          <w:b/>
          <w:bCs/>
          <w:color w:val="A02069"/>
          <w:sz w:val="32"/>
          <w:szCs w:val="32"/>
          <w:lang w:eastAsia="en-GB"/>
        </w:rPr>
        <w:lastRenderedPageBreak/>
        <w:t xml:space="preserve">Document checklist </w:t>
      </w:r>
    </w:p>
    <w:p w14:paraId="2C9D87BB" w14:textId="7F2F14FC" w:rsidR="00B9090A" w:rsidRPr="00E409D3" w:rsidRDefault="007C15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a minimum, all events organisers should upload the following in the latter section of the online application form: </w:t>
      </w:r>
    </w:p>
    <w:tbl>
      <w:tblPr>
        <w:tblStyle w:val="TableGrid"/>
        <w:tblW w:w="9005" w:type="dxa"/>
        <w:tblLook w:val="04A0" w:firstRow="1" w:lastRow="0" w:firstColumn="1" w:lastColumn="0" w:noHBand="0" w:noVBand="1"/>
      </w:tblPr>
      <w:tblGrid>
        <w:gridCol w:w="562"/>
        <w:gridCol w:w="8364"/>
        <w:gridCol w:w="79"/>
      </w:tblGrid>
      <w:tr w:rsidR="00B9090A" w:rsidRPr="00E409D3" w14:paraId="29A5A7FA" w14:textId="77777777" w:rsidTr="00B9090A">
        <w:trPr>
          <w:gridAfter w:val="1"/>
          <w:wAfter w:w="79" w:type="dxa"/>
        </w:trPr>
        <w:tc>
          <w:tcPr>
            <w:tcW w:w="562" w:type="dxa"/>
          </w:tcPr>
          <w:p w14:paraId="356980F6" w14:textId="77777777" w:rsidR="00B9090A" w:rsidRPr="00E409D3" w:rsidRDefault="00B9090A" w:rsidP="00B046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64" w:type="dxa"/>
          </w:tcPr>
          <w:p w14:paraId="00AFF4D8" w14:textId="6120765C" w:rsidR="00B9090A" w:rsidRPr="00E409D3" w:rsidRDefault="00B9090A" w:rsidP="00B046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9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Site plan </w:t>
            </w:r>
          </w:p>
          <w:p w14:paraId="7950BE69" w14:textId="60E76F0F" w:rsidR="00B9090A" w:rsidRPr="00E409D3" w:rsidRDefault="00B9090A" w:rsidP="00B0464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B9090A" w:rsidRPr="00E409D3" w14:paraId="3D4E6505" w14:textId="77777777" w:rsidTr="00B9090A">
        <w:trPr>
          <w:gridAfter w:val="1"/>
          <w:wAfter w:w="79" w:type="dxa"/>
        </w:trPr>
        <w:tc>
          <w:tcPr>
            <w:tcW w:w="562" w:type="dxa"/>
          </w:tcPr>
          <w:p w14:paraId="30FCD9EB" w14:textId="77777777" w:rsidR="00B9090A" w:rsidRPr="00E409D3" w:rsidRDefault="00B9090A" w:rsidP="00B046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64" w:type="dxa"/>
          </w:tcPr>
          <w:p w14:paraId="5329DB24" w14:textId="72887251" w:rsidR="00B9090A" w:rsidRPr="00E409D3" w:rsidRDefault="00B9090A" w:rsidP="00B04644">
            <w:pPr>
              <w:rPr>
                <w:rFonts w:ascii="Arial" w:hAnsi="Arial" w:cs="Arial"/>
                <w:sz w:val="24"/>
                <w:szCs w:val="24"/>
              </w:rPr>
            </w:pPr>
            <w:r w:rsidRPr="00E409D3">
              <w:rPr>
                <w:rFonts w:ascii="Arial" w:hAnsi="Arial" w:cs="Arial"/>
                <w:b/>
                <w:bCs/>
                <w:sz w:val="24"/>
                <w:szCs w:val="24"/>
              </w:rPr>
              <w:t>Risk assessment</w:t>
            </w:r>
            <w:r w:rsidRPr="00E409D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7C8CC33" w14:textId="77777777" w:rsidR="00B9090A" w:rsidRPr="00E409D3" w:rsidRDefault="00B9090A" w:rsidP="00B046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090A" w:rsidRPr="00E409D3" w14:paraId="290528B8" w14:textId="77777777" w:rsidTr="00B9090A">
        <w:trPr>
          <w:gridAfter w:val="1"/>
          <w:wAfter w:w="79" w:type="dxa"/>
        </w:trPr>
        <w:tc>
          <w:tcPr>
            <w:tcW w:w="562" w:type="dxa"/>
          </w:tcPr>
          <w:p w14:paraId="25D56DEC" w14:textId="77777777" w:rsidR="00B9090A" w:rsidRPr="00E409D3" w:rsidRDefault="00B9090A" w:rsidP="00B046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64" w:type="dxa"/>
          </w:tcPr>
          <w:p w14:paraId="038635E8" w14:textId="6F40D918" w:rsidR="00B9090A" w:rsidRPr="00E409D3" w:rsidRDefault="00B9090A" w:rsidP="00B04644">
            <w:pPr>
              <w:rPr>
                <w:rFonts w:ascii="Arial" w:hAnsi="Arial" w:cs="Arial"/>
                <w:sz w:val="24"/>
                <w:szCs w:val="24"/>
              </w:rPr>
            </w:pPr>
            <w:r w:rsidRPr="00E409D3">
              <w:rPr>
                <w:rFonts w:ascii="Arial" w:hAnsi="Arial" w:cs="Arial"/>
                <w:b/>
                <w:bCs/>
                <w:sz w:val="24"/>
                <w:szCs w:val="24"/>
              </w:rPr>
              <w:t>Proof of PLI</w:t>
            </w:r>
            <w:r w:rsidRPr="00E409D3">
              <w:rPr>
                <w:rFonts w:ascii="Arial" w:hAnsi="Arial" w:cs="Arial"/>
                <w:sz w:val="24"/>
                <w:szCs w:val="24"/>
              </w:rPr>
              <w:t xml:space="preserve"> (public liability insurance, min £5 million) </w:t>
            </w:r>
          </w:p>
          <w:p w14:paraId="688A9F10" w14:textId="7796878E" w:rsidR="00B9090A" w:rsidRPr="00E409D3" w:rsidRDefault="00B9090A" w:rsidP="00B046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090A" w:rsidRPr="00E409D3" w14:paraId="1908097D" w14:textId="77777777" w:rsidTr="00B9090A">
        <w:tc>
          <w:tcPr>
            <w:tcW w:w="562" w:type="dxa"/>
          </w:tcPr>
          <w:p w14:paraId="3BA5F70B" w14:textId="77777777" w:rsidR="00B9090A" w:rsidRPr="00E409D3" w:rsidRDefault="00B9090A" w:rsidP="00B046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43" w:type="dxa"/>
            <w:gridSpan w:val="2"/>
          </w:tcPr>
          <w:p w14:paraId="45F7D0A4" w14:textId="10019B38" w:rsidR="00B9090A" w:rsidRPr="00E409D3" w:rsidRDefault="00B9090A" w:rsidP="00B046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9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Method Statement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 Event</w:t>
            </w:r>
            <w:r w:rsidR="007C15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Management Plan </w:t>
            </w:r>
          </w:p>
          <w:p w14:paraId="1C6CE7DF" w14:textId="77777777" w:rsidR="00B9090A" w:rsidRPr="00E409D3" w:rsidRDefault="00B9090A" w:rsidP="00B909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560E7E" w14:textId="77777777" w:rsidR="00B9090A" w:rsidRDefault="00B9090A">
      <w:pPr>
        <w:rPr>
          <w:rFonts w:ascii="Arial" w:hAnsi="Arial" w:cs="Arial"/>
          <w:b/>
          <w:bCs/>
          <w:sz w:val="24"/>
          <w:szCs w:val="24"/>
        </w:rPr>
      </w:pPr>
    </w:p>
    <w:p w14:paraId="12EE7B07" w14:textId="237D852A" w:rsidR="00AB2409" w:rsidRPr="007C1566" w:rsidRDefault="007C1566">
      <w:pPr>
        <w:rPr>
          <w:rFonts w:ascii="Arial" w:hAnsi="Arial" w:cs="Arial"/>
          <w:sz w:val="24"/>
          <w:szCs w:val="24"/>
        </w:rPr>
      </w:pPr>
      <w:r w:rsidRPr="007C1566">
        <w:rPr>
          <w:rFonts w:ascii="Arial" w:hAnsi="Arial" w:cs="Arial"/>
          <w:sz w:val="24"/>
          <w:szCs w:val="24"/>
        </w:rPr>
        <w:t>Larger events may have other requirement</w:t>
      </w:r>
      <w:r>
        <w:rPr>
          <w:rFonts w:ascii="Arial" w:hAnsi="Arial" w:cs="Arial"/>
          <w:sz w:val="24"/>
          <w:szCs w:val="24"/>
        </w:rPr>
        <w:t xml:space="preserve">s, such as Travel Management Plan and Noise Management plan. </w:t>
      </w:r>
      <w:r w:rsidRPr="007C1566">
        <w:rPr>
          <w:rFonts w:ascii="Arial" w:hAnsi="Arial" w:cs="Arial"/>
          <w:sz w:val="24"/>
          <w:szCs w:val="24"/>
        </w:rPr>
        <w:t xml:space="preserve"> </w:t>
      </w:r>
    </w:p>
    <w:p w14:paraId="06EC0C30" w14:textId="1B9E11F4" w:rsidR="007C1566" w:rsidRPr="003227CC" w:rsidRDefault="007C1566" w:rsidP="007C1566">
      <w:pPr>
        <w:pBdr>
          <w:bottom w:val="single" w:sz="4" w:space="1" w:color="auto"/>
        </w:pBdr>
        <w:shd w:val="clear" w:color="auto" w:fill="FFFFFF"/>
        <w:spacing w:line="240" w:lineRule="auto"/>
        <w:rPr>
          <w:rFonts w:asciiTheme="majorHAnsi" w:eastAsia="Times New Roman" w:hAnsiTheme="majorHAnsi" w:cstheme="majorHAnsi"/>
          <w:b/>
          <w:bCs/>
          <w:color w:val="A02069"/>
          <w:sz w:val="32"/>
          <w:szCs w:val="32"/>
          <w:lang w:eastAsia="en-GB"/>
        </w:rPr>
      </w:pPr>
      <w:bookmarkStart w:id="3" w:name="_Hlk131518006"/>
      <w:r>
        <w:rPr>
          <w:rFonts w:asciiTheme="majorHAnsi" w:eastAsia="Times New Roman" w:hAnsiTheme="majorHAnsi" w:cstheme="majorHAnsi"/>
          <w:b/>
          <w:bCs/>
          <w:color w:val="A02069"/>
          <w:sz w:val="32"/>
          <w:szCs w:val="32"/>
          <w:lang w:eastAsia="en-GB"/>
        </w:rPr>
        <w:t xml:space="preserve">Contact </w:t>
      </w:r>
    </w:p>
    <w:p w14:paraId="57288D32" w14:textId="0E6DED8B" w:rsidR="009B507B" w:rsidRDefault="007C1566" w:rsidP="007C1566">
      <w:pPr>
        <w:spacing w:before="300"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If any questions not covered in this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guide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please contact </w:t>
      </w:r>
      <w:hyperlink r:id="rId13" w:history="1">
        <w:r w:rsidRPr="00E368AD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beckenhamplacepark@lewisham.gov.uk</w:t>
        </w:r>
      </w:hyperlink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bookmarkEnd w:id="3"/>
    </w:p>
    <w:p w14:paraId="17755DF5" w14:textId="0CA24CE2" w:rsidR="009B507B" w:rsidRPr="00E409D3" w:rsidRDefault="009B507B">
      <w:pPr>
        <w:rPr>
          <w:rFonts w:ascii="Arial" w:hAnsi="Arial" w:cs="Arial"/>
          <w:b/>
          <w:bCs/>
          <w:sz w:val="24"/>
          <w:szCs w:val="24"/>
        </w:rPr>
      </w:pPr>
    </w:p>
    <w:p w14:paraId="4F632935" w14:textId="106DBF4C" w:rsidR="00A95439" w:rsidRDefault="00A95439" w:rsidP="009B50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sectPr w:rsidR="00A95439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0BD8E" w14:textId="77777777" w:rsidR="00852BE1" w:rsidRDefault="00852BE1" w:rsidP="00517746">
      <w:pPr>
        <w:spacing w:after="0" w:line="240" w:lineRule="auto"/>
      </w:pPr>
      <w:r>
        <w:separator/>
      </w:r>
    </w:p>
  </w:endnote>
  <w:endnote w:type="continuationSeparator" w:id="0">
    <w:p w14:paraId="66B68944" w14:textId="77777777" w:rsidR="00852BE1" w:rsidRDefault="00852BE1" w:rsidP="00517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061008"/>
      <w:docPartObj>
        <w:docPartGallery w:val="Page Numbers (Bottom of Page)"/>
        <w:docPartUnique/>
      </w:docPartObj>
    </w:sdtPr>
    <w:sdtEndPr/>
    <w:sdtContent>
      <w:p w14:paraId="318800E9" w14:textId="5B9F1A25" w:rsidR="001A4172" w:rsidRDefault="001A417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8CB372" w14:textId="2E79EF3D" w:rsidR="001A4172" w:rsidRDefault="00F21A98">
    <w:pPr>
      <w:pStyle w:val="Footer"/>
    </w:pPr>
    <w:r>
      <w:t>04.23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49337" w14:textId="77777777" w:rsidR="00852BE1" w:rsidRDefault="00852BE1" w:rsidP="00517746">
      <w:pPr>
        <w:spacing w:after="0" w:line="240" w:lineRule="auto"/>
      </w:pPr>
      <w:r>
        <w:separator/>
      </w:r>
    </w:p>
  </w:footnote>
  <w:footnote w:type="continuationSeparator" w:id="0">
    <w:p w14:paraId="7158926F" w14:textId="77777777" w:rsidR="00852BE1" w:rsidRDefault="00852BE1" w:rsidP="00517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91E3D"/>
    <w:multiLevelType w:val="hybridMultilevel"/>
    <w:tmpl w:val="99283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923A8"/>
    <w:multiLevelType w:val="multilevel"/>
    <w:tmpl w:val="5C9663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453A7"/>
    <w:multiLevelType w:val="hybridMultilevel"/>
    <w:tmpl w:val="FAB6BACA"/>
    <w:lvl w:ilvl="0" w:tplc="588A24C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2236E"/>
    <w:multiLevelType w:val="hybridMultilevel"/>
    <w:tmpl w:val="FC063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42C1D"/>
    <w:multiLevelType w:val="multilevel"/>
    <w:tmpl w:val="39164B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F5"/>
    <w:rsid w:val="0013433E"/>
    <w:rsid w:val="001475A3"/>
    <w:rsid w:val="001A4172"/>
    <w:rsid w:val="001F65EA"/>
    <w:rsid w:val="003227CC"/>
    <w:rsid w:val="00517746"/>
    <w:rsid w:val="005D44F0"/>
    <w:rsid w:val="00715C86"/>
    <w:rsid w:val="007B53B0"/>
    <w:rsid w:val="007C1566"/>
    <w:rsid w:val="00852BE1"/>
    <w:rsid w:val="009B4C20"/>
    <w:rsid w:val="009B507B"/>
    <w:rsid w:val="009E3825"/>
    <w:rsid w:val="009E689F"/>
    <w:rsid w:val="009F04F5"/>
    <w:rsid w:val="00A520B1"/>
    <w:rsid w:val="00A72031"/>
    <w:rsid w:val="00A94A0D"/>
    <w:rsid w:val="00A95439"/>
    <w:rsid w:val="00AB2409"/>
    <w:rsid w:val="00AB722D"/>
    <w:rsid w:val="00AC5864"/>
    <w:rsid w:val="00B165B3"/>
    <w:rsid w:val="00B70DFF"/>
    <w:rsid w:val="00B9090A"/>
    <w:rsid w:val="00BF6B96"/>
    <w:rsid w:val="00C04080"/>
    <w:rsid w:val="00D11CEB"/>
    <w:rsid w:val="00DE1181"/>
    <w:rsid w:val="00DF29AC"/>
    <w:rsid w:val="00E409D3"/>
    <w:rsid w:val="00ED540D"/>
    <w:rsid w:val="00F21A98"/>
    <w:rsid w:val="00F84CE1"/>
    <w:rsid w:val="00FC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155A7"/>
  <w15:chartTrackingRefBased/>
  <w15:docId w15:val="{2E98501E-80E5-4A4F-8CF3-C7B9AD94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66"/>
  </w:style>
  <w:style w:type="paragraph" w:styleId="Heading1">
    <w:name w:val="heading 1"/>
    <w:basedOn w:val="Normal"/>
    <w:next w:val="Normal"/>
    <w:link w:val="Heading1Char"/>
    <w:uiPriority w:val="9"/>
    <w:qFormat/>
    <w:rsid w:val="00E409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09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F04F5"/>
    <w:rPr>
      <w:b/>
      <w:bCs/>
    </w:rPr>
  </w:style>
  <w:style w:type="table" w:styleId="TableGrid">
    <w:name w:val="Table Grid"/>
    <w:basedOn w:val="TableNormal"/>
    <w:rsid w:val="00517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7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746"/>
  </w:style>
  <w:style w:type="paragraph" w:styleId="Footer">
    <w:name w:val="footer"/>
    <w:basedOn w:val="Normal"/>
    <w:link w:val="FooterChar"/>
    <w:uiPriority w:val="99"/>
    <w:unhideWhenUsed/>
    <w:rsid w:val="00517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746"/>
  </w:style>
  <w:style w:type="paragraph" w:styleId="ListParagraph">
    <w:name w:val="List Paragraph"/>
    <w:basedOn w:val="Normal"/>
    <w:uiPriority w:val="34"/>
    <w:qFormat/>
    <w:rsid w:val="00B70D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240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40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409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409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E38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8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8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8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82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E3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2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23336">
          <w:marLeft w:val="-75"/>
          <w:marRight w:val="-7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2661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4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351619">
          <w:marLeft w:val="-75"/>
          <w:marRight w:val="-7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4618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3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4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1189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915619">
                                      <w:marLeft w:val="-75"/>
                                      <w:marRight w:val="-7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88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00323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wisham.gov.uk/inmyarea/openspaces/parks/beckenham-place-park/getting-to-beckenham-place-park" TargetMode="External"/><Relationship Id="rId13" Type="http://schemas.openxmlformats.org/officeDocument/2006/relationships/hyperlink" Target="mailto:beckenhamplacepark@lewisham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app.apply4.com/uploads/instance_document/file/3274/Event_application_timeframe_and_process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apply4.com/uploads/instance_document/file/3277/Event_Guidance_Notes_Glendale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ewisham.gov.uk/inmyarea/openspaces/parks/beckenham-place-park/getting-to-beckenham-place-par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wisham.gov.uk/myservices/business/licences-and-street-trading/licences-issued-by-the-licensing-team/alcohol-and-entertainment-licence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4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Matias, Andrea</dc:creator>
  <cp:keywords/>
  <dc:description/>
  <cp:lastModifiedBy>Hugh Sharma</cp:lastModifiedBy>
  <cp:revision>4</cp:revision>
  <dcterms:created xsi:type="dcterms:W3CDTF">2023-03-28T11:50:00Z</dcterms:created>
  <dcterms:modified xsi:type="dcterms:W3CDTF">2023-05-01T09:51:00Z</dcterms:modified>
</cp:coreProperties>
</file>