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7B7C4" w14:textId="77777777" w:rsidR="00675C99" w:rsidRPr="00D847DF" w:rsidRDefault="00675C99" w:rsidP="00675C99">
      <w:pPr>
        <w:jc w:val="center"/>
        <w:rPr>
          <w:rFonts w:ascii="Arial" w:hAnsi="Arial" w:cs="Arial"/>
          <w:b/>
          <w:bCs/>
          <w:sz w:val="18"/>
          <w:szCs w:val="18"/>
          <w:u w:val="single"/>
        </w:rPr>
      </w:pPr>
    </w:p>
    <w:p w14:paraId="3A7FC9F8" w14:textId="77777777" w:rsidR="00675C99" w:rsidRPr="00D847DF" w:rsidRDefault="00675C99" w:rsidP="00675C99">
      <w:pPr>
        <w:jc w:val="center"/>
        <w:rPr>
          <w:rFonts w:ascii="Arial" w:hAnsi="Arial" w:cs="Arial"/>
          <w:b/>
          <w:bCs/>
          <w:sz w:val="18"/>
          <w:szCs w:val="18"/>
          <w:u w:val="single"/>
        </w:rPr>
      </w:pPr>
    </w:p>
    <w:p w14:paraId="06C026B0" w14:textId="07E7D3F8" w:rsidR="00675C99" w:rsidRPr="00D847DF" w:rsidRDefault="00CA4F89" w:rsidP="00CA4F89">
      <w:pPr>
        <w:jc w:val="center"/>
        <w:rPr>
          <w:rFonts w:ascii="Arial" w:hAnsi="Arial" w:cs="Arial"/>
          <w:b/>
          <w:bCs/>
          <w:sz w:val="18"/>
          <w:szCs w:val="18"/>
          <w:u w:val="single"/>
        </w:rPr>
      </w:pPr>
      <w:r w:rsidRPr="00D847DF">
        <w:rPr>
          <w:rFonts w:ascii="Calibri" w:hAnsi="Calibri" w:cs="Calibri"/>
          <w:noProof/>
          <w:sz w:val="18"/>
          <w:szCs w:val="18"/>
        </w:rPr>
        <w:drawing>
          <wp:inline distT="0" distB="0" distL="0" distR="0" wp14:anchorId="59C18060" wp14:editId="3EB01F1E">
            <wp:extent cx="2590800" cy="705490"/>
            <wp:effectExtent l="0" t="0" r="0" b="0"/>
            <wp:docPr id="3" name="Picture 644365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365579"/>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672708" cy="727794"/>
                    </a:xfrm>
                    <a:prstGeom prst="rect">
                      <a:avLst/>
                    </a:prstGeom>
                    <a:noFill/>
                    <a:ln>
                      <a:noFill/>
                    </a:ln>
                  </pic:spPr>
                </pic:pic>
              </a:graphicData>
            </a:graphic>
          </wp:inline>
        </w:drawing>
      </w:r>
    </w:p>
    <w:p w14:paraId="6A406C1B" w14:textId="05BB8A95" w:rsidR="00675C99" w:rsidRPr="00780985" w:rsidRDefault="00675C99" w:rsidP="00675C99">
      <w:pPr>
        <w:jc w:val="center"/>
        <w:rPr>
          <w:rFonts w:ascii="Arial" w:hAnsi="Arial" w:cs="Arial"/>
          <w:b/>
          <w:bCs/>
          <w:color w:val="000000" w:themeColor="text1"/>
          <w:sz w:val="18"/>
          <w:szCs w:val="18"/>
          <w:u w:val="single"/>
        </w:rPr>
      </w:pPr>
      <w:r w:rsidRPr="00780985">
        <w:rPr>
          <w:rFonts w:ascii="Arial" w:hAnsi="Arial" w:cs="Arial"/>
          <w:b/>
          <w:bCs/>
          <w:color w:val="000000" w:themeColor="text1"/>
          <w:sz w:val="18"/>
          <w:szCs w:val="18"/>
          <w:u w:val="single"/>
        </w:rPr>
        <w:t>Premises Licences</w:t>
      </w:r>
    </w:p>
    <w:p w14:paraId="44803E92" w14:textId="77777777" w:rsidR="00675C99" w:rsidRPr="00780985" w:rsidRDefault="00675C99" w:rsidP="00675C99">
      <w:pPr>
        <w:rPr>
          <w:rFonts w:ascii="Arial" w:hAnsi="Arial" w:cs="Arial"/>
          <w:color w:val="000000" w:themeColor="text1"/>
          <w:sz w:val="18"/>
          <w:szCs w:val="18"/>
        </w:rPr>
      </w:pPr>
      <w:r w:rsidRPr="00780985">
        <w:rPr>
          <w:rFonts w:ascii="Arial" w:hAnsi="Arial" w:cs="Arial"/>
          <w:color w:val="000000" w:themeColor="text1"/>
          <w:sz w:val="18"/>
          <w:szCs w:val="18"/>
        </w:rPr>
        <w:t>A premises licence is </w:t>
      </w:r>
      <w:r w:rsidRPr="00780985">
        <w:rPr>
          <w:rFonts w:ascii="Arial" w:hAnsi="Arial" w:cs="Arial"/>
          <w:b/>
          <w:bCs/>
          <w:color w:val="000000" w:themeColor="text1"/>
          <w:sz w:val="18"/>
          <w:szCs w:val="18"/>
        </w:rPr>
        <w:t xml:space="preserve">required for the provision of licensable activities at </w:t>
      </w:r>
      <w:proofErr w:type="gramStart"/>
      <w:r w:rsidRPr="00780985">
        <w:rPr>
          <w:rFonts w:ascii="Arial" w:hAnsi="Arial" w:cs="Arial"/>
          <w:b/>
          <w:bCs/>
          <w:color w:val="000000" w:themeColor="text1"/>
          <w:sz w:val="18"/>
          <w:szCs w:val="18"/>
        </w:rPr>
        <w:t>particular premises</w:t>
      </w:r>
      <w:proofErr w:type="gramEnd"/>
      <w:r w:rsidRPr="00780985">
        <w:rPr>
          <w:rFonts w:ascii="Arial" w:hAnsi="Arial" w:cs="Arial"/>
          <w:color w:val="000000" w:themeColor="text1"/>
          <w:sz w:val="18"/>
          <w:szCs w:val="18"/>
        </w:rPr>
        <w:t>. "Premises" includes a vehicle, vessel or moveable structure or any place (including in the open air) or part of a premises. The licence can be either on a permanent basis or for a time-limited period.</w:t>
      </w:r>
    </w:p>
    <w:p w14:paraId="06ED3D10" w14:textId="77777777" w:rsidR="00675C99" w:rsidRPr="00780985" w:rsidRDefault="00675C99" w:rsidP="00675C99">
      <w:pPr>
        <w:rPr>
          <w:rFonts w:ascii="Arial" w:hAnsi="Arial" w:cs="Arial"/>
          <w:color w:val="000000" w:themeColor="text1"/>
          <w:sz w:val="18"/>
          <w:szCs w:val="18"/>
        </w:rPr>
      </w:pPr>
      <w:r w:rsidRPr="00780985">
        <w:rPr>
          <w:rFonts w:ascii="Arial" w:hAnsi="Arial" w:cs="Arial"/>
          <w:color w:val="000000" w:themeColor="text1"/>
          <w:sz w:val="18"/>
          <w:szCs w:val="18"/>
        </w:rPr>
        <w:t>Licensable Activities are.</w:t>
      </w:r>
    </w:p>
    <w:p w14:paraId="564C3001" w14:textId="77777777" w:rsidR="00675C99" w:rsidRPr="00780985" w:rsidRDefault="00675C99" w:rsidP="00675C99">
      <w:pPr>
        <w:numPr>
          <w:ilvl w:val="0"/>
          <w:numId w:val="1"/>
        </w:numPr>
        <w:rPr>
          <w:rFonts w:ascii="Arial" w:hAnsi="Arial" w:cs="Arial"/>
          <w:color w:val="000000" w:themeColor="text1"/>
          <w:sz w:val="18"/>
          <w:szCs w:val="18"/>
          <w:lang w:val="en"/>
        </w:rPr>
      </w:pPr>
      <w:r w:rsidRPr="00780985">
        <w:rPr>
          <w:rFonts w:ascii="Arial" w:hAnsi="Arial" w:cs="Arial"/>
          <w:color w:val="000000" w:themeColor="text1"/>
          <w:sz w:val="18"/>
          <w:szCs w:val="18"/>
          <w:lang w:val="en"/>
        </w:rPr>
        <w:t>the sale or supply of alcohol</w:t>
      </w:r>
    </w:p>
    <w:p w14:paraId="43DA821C" w14:textId="77777777" w:rsidR="00675C99" w:rsidRPr="00780985" w:rsidRDefault="00675C99" w:rsidP="00675C99">
      <w:pPr>
        <w:numPr>
          <w:ilvl w:val="0"/>
          <w:numId w:val="1"/>
        </w:numPr>
        <w:rPr>
          <w:rFonts w:ascii="Arial" w:hAnsi="Arial" w:cs="Arial"/>
          <w:color w:val="000000" w:themeColor="text1"/>
          <w:sz w:val="18"/>
          <w:szCs w:val="18"/>
          <w:lang w:val="en"/>
        </w:rPr>
      </w:pPr>
      <w:r w:rsidRPr="00780985">
        <w:rPr>
          <w:rFonts w:ascii="Arial" w:hAnsi="Arial" w:cs="Arial"/>
          <w:color w:val="000000" w:themeColor="text1"/>
          <w:sz w:val="18"/>
          <w:szCs w:val="18"/>
          <w:lang w:val="en"/>
        </w:rPr>
        <w:t>the provision of public entertainment</w:t>
      </w:r>
    </w:p>
    <w:p w14:paraId="30BE4DA8" w14:textId="77777777" w:rsidR="00675C99" w:rsidRPr="00780985" w:rsidRDefault="00675C99" w:rsidP="00675C99">
      <w:pPr>
        <w:numPr>
          <w:ilvl w:val="0"/>
          <w:numId w:val="1"/>
        </w:numPr>
        <w:rPr>
          <w:rFonts w:ascii="Arial" w:hAnsi="Arial" w:cs="Arial"/>
          <w:color w:val="000000" w:themeColor="text1"/>
          <w:sz w:val="18"/>
          <w:szCs w:val="18"/>
          <w:lang w:val="en"/>
        </w:rPr>
      </w:pPr>
      <w:r w:rsidRPr="00780985">
        <w:rPr>
          <w:rFonts w:ascii="Arial" w:hAnsi="Arial" w:cs="Arial"/>
          <w:color w:val="000000" w:themeColor="text1"/>
          <w:sz w:val="18"/>
          <w:szCs w:val="18"/>
          <w:lang w:val="en"/>
        </w:rPr>
        <w:t>the provision of late-night hot food and drink</w:t>
      </w:r>
    </w:p>
    <w:p w14:paraId="0FB5E593" w14:textId="77777777" w:rsidR="00675C99" w:rsidRPr="00780985" w:rsidRDefault="00675C99" w:rsidP="00675C99">
      <w:pPr>
        <w:rPr>
          <w:rFonts w:ascii="Arial" w:hAnsi="Arial" w:cs="Arial"/>
          <w:b/>
          <w:bCs/>
          <w:color w:val="000000" w:themeColor="text1"/>
          <w:sz w:val="18"/>
          <w:szCs w:val="18"/>
          <w:u w:val="single"/>
        </w:rPr>
      </w:pPr>
      <w:r w:rsidRPr="00780985">
        <w:rPr>
          <w:rFonts w:ascii="Arial" w:hAnsi="Arial" w:cs="Arial"/>
          <w:b/>
          <w:bCs/>
          <w:color w:val="000000" w:themeColor="text1"/>
          <w:sz w:val="18"/>
          <w:szCs w:val="18"/>
          <w:u w:val="single"/>
          <w:lang w:val="en"/>
        </w:rPr>
        <w:t>Timescales</w:t>
      </w:r>
    </w:p>
    <w:p w14:paraId="5034ED14" w14:textId="77777777" w:rsidR="00675C99" w:rsidRPr="00780985" w:rsidRDefault="00675C99" w:rsidP="00675C99">
      <w:pPr>
        <w:rPr>
          <w:rFonts w:ascii="Arial" w:hAnsi="Arial" w:cs="Arial"/>
          <w:color w:val="000000" w:themeColor="text1"/>
          <w:sz w:val="18"/>
          <w:szCs w:val="18"/>
        </w:rPr>
      </w:pPr>
      <w:r w:rsidRPr="00780985">
        <w:rPr>
          <w:rFonts w:ascii="Arial" w:hAnsi="Arial" w:cs="Arial"/>
          <w:color w:val="000000" w:themeColor="text1"/>
          <w:sz w:val="18"/>
          <w:szCs w:val="18"/>
        </w:rPr>
        <w:t xml:space="preserve">Once you have submitted and paid for a valid application to London Borough of Harrow, there is </w:t>
      </w:r>
      <w:r w:rsidRPr="00780985">
        <w:rPr>
          <w:rFonts w:ascii="Arial" w:hAnsi="Arial" w:cs="Arial"/>
          <w:b/>
          <w:bCs/>
          <w:color w:val="000000" w:themeColor="text1"/>
          <w:sz w:val="18"/>
          <w:szCs w:val="18"/>
        </w:rPr>
        <w:t>a 28-day period</w:t>
      </w:r>
      <w:r w:rsidRPr="00780985">
        <w:rPr>
          <w:rFonts w:ascii="Arial" w:hAnsi="Arial" w:cs="Arial"/>
          <w:color w:val="000000" w:themeColor="text1"/>
          <w:sz w:val="18"/>
          <w:szCs w:val="18"/>
        </w:rPr>
        <w:t xml:space="preserve"> during which people can object or make representations both against and for the application. These representations can be from a range of different people and be on behalf of business or organisations, but they can also be from the police, local councillors, the licensing authority, trading standards, environmental health or the fire service.</w:t>
      </w:r>
    </w:p>
    <w:p w14:paraId="1977E658" w14:textId="77777777" w:rsidR="00675C99" w:rsidRPr="00780985" w:rsidRDefault="00675C99" w:rsidP="00675C99">
      <w:pPr>
        <w:rPr>
          <w:rFonts w:ascii="Arial" w:hAnsi="Arial" w:cs="Arial"/>
          <w:color w:val="000000" w:themeColor="text1"/>
          <w:sz w:val="18"/>
          <w:szCs w:val="18"/>
        </w:rPr>
      </w:pPr>
      <w:r w:rsidRPr="00780985">
        <w:rPr>
          <w:rFonts w:ascii="Arial" w:hAnsi="Arial" w:cs="Arial"/>
          <w:color w:val="000000" w:themeColor="text1"/>
          <w:sz w:val="18"/>
          <w:szCs w:val="18"/>
        </w:rPr>
        <w:t>Should your premises licence application get representations which cannot be negotiated away, leaving you facing a hearing, you might end up with a premises licence that doesn’t give you what you want: for example, you might get one with:</w:t>
      </w:r>
    </w:p>
    <w:p w14:paraId="73C608C9" w14:textId="77777777" w:rsidR="00780985" w:rsidRPr="00780985" w:rsidRDefault="00675C99" w:rsidP="00780985">
      <w:pPr>
        <w:numPr>
          <w:ilvl w:val="0"/>
          <w:numId w:val="2"/>
        </w:numPr>
        <w:rPr>
          <w:rFonts w:ascii="Arial" w:hAnsi="Arial" w:cs="Arial"/>
          <w:color w:val="000000" w:themeColor="text1"/>
          <w:sz w:val="18"/>
          <w:szCs w:val="18"/>
        </w:rPr>
      </w:pPr>
      <w:r w:rsidRPr="00780985">
        <w:rPr>
          <w:rFonts w:ascii="Arial" w:hAnsi="Arial" w:cs="Arial"/>
          <w:color w:val="000000" w:themeColor="text1"/>
          <w:sz w:val="18"/>
          <w:szCs w:val="18"/>
        </w:rPr>
        <w:t>trading hours less than applied for</w:t>
      </w:r>
    </w:p>
    <w:p w14:paraId="6AB5A23D" w14:textId="75525CFB" w:rsidR="00675C99" w:rsidRPr="00780985" w:rsidRDefault="00675C99" w:rsidP="00780985">
      <w:pPr>
        <w:pStyle w:val="ListParagraph"/>
        <w:numPr>
          <w:ilvl w:val="0"/>
          <w:numId w:val="2"/>
        </w:numPr>
        <w:rPr>
          <w:rFonts w:ascii="Arial" w:hAnsi="Arial" w:cs="Arial"/>
          <w:color w:val="000000" w:themeColor="text1"/>
          <w:sz w:val="18"/>
          <w:szCs w:val="18"/>
        </w:rPr>
      </w:pPr>
      <w:r w:rsidRPr="00780985">
        <w:rPr>
          <w:rFonts w:ascii="Arial" w:hAnsi="Arial" w:cs="Arial"/>
          <w:color w:val="000000" w:themeColor="text1"/>
          <w:sz w:val="18"/>
          <w:szCs w:val="18"/>
        </w:rPr>
        <w:t>conditions only allowing alcohol to be sold with a substantial meal</w:t>
      </w:r>
    </w:p>
    <w:p w14:paraId="551DDE4B" w14:textId="77777777" w:rsidR="00675C99" w:rsidRPr="00780985" w:rsidRDefault="00675C99" w:rsidP="00675C99">
      <w:pPr>
        <w:numPr>
          <w:ilvl w:val="0"/>
          <w:numId w:val="2"/>
        </w:numPr>
        <w:rPr>
          <w:rFonts w:ascii="Arial" w:hAnsi="Arial" w:cs="Arial"/>
          <w:color w:val="000000" w:themeColor="text1"/>
          <w:sz w:val="18"/>
          <w:szCs w:val="18"/>
        </w:rPr>
      </w:pPr>
      <w:r w:rsidRPr="00780985">
        <w:rPr>
          <w:rFonts w:ascii="Arial" w:hAnsi="Arial" w:cs="Arial"/>
          <w:color w:val="000000" w:themeColor="text1"/>
          <w:sz w:val="18"/>
          <w:szCs w:val="18"/>
        </w:rPr>
        <w:t>limits on the use of any outdoor spaces and imposes the use of polycarbonates (plastic glasses) to reduce noise</w:t>
      </w:r>
    </w:p>
    <w:p w14:paraId="75E5BECE" w14:textId="77777777" w:rsidR="00675C99" w:rsidRPr="00780985" w:rsidRDefault="00675C99" w:rsidP="00675C99">
      <w:pPr>
        <w:numPr>
          <w:ilvl w:val="0"/>
          <w:numId w:val="2"/>
        </w:numPr>
        <w:rPr>
          <w:rFonts w:ascii="Arial" w:hAnsi="Arial" w:cs="Arial"/>
          <w:color w:val="000000" w:themeColor="text1"/>
          <w:sz w:val="18"/>
          <w:szCs w:val="18"/>
        </w:rPr>
      </w:pPr>
      <w:r w:rsidRPr="00780985">
        <w:rPr>
          <w:rFonts w:ascii="Arial" w:hAnsi="Arial" w:cs="Arial"/>
          <w:color w:val="000000" w:themeColor="text1"/>
          <w:sz w:val="18"/>
          <w:szCs w:val="18"/>
        </w:rPr>
        <w:t>application could be refused entirely</w:t>
      </w:r>
    </w:p>
    <w:p w14:paraId="00DB4BBE" w14:textId="77777777" w:rsidR="00780985" w:rsidRPr="00780985" w:rsidRDefault="00675C99" w:rsidP="00675C99">
      <w:pPr>
        <w:rPr>
          <w:rFonts w:ascii="Arial" w:hAnsi="Arial" w:cs="Arial"/>
          <w:color w:val="000000" w:themeColor="text1"/>
          <w:sz w:val="18"/>
          <w:szCs w:val="18"/>
        </w:rPr>
      </w:pPr>
      <w:r w:rsidRPr="00780985">
        <w:rPr>
          <w:rFonts w:ascii="Arial" w:hAnsi="Arial" w:cs="Arial"/>
          <w:color w:val="000000" w:themeColor="text1"/>
          <w:sz w:val="18"/>
          <w:szCs w:val="18"/>
        </w:rPr>
        <w:t xml:space="preserve">Hearings should be held within a </w:t>
      </w:r>
      <w:r w:rsidRPr="00780985">
        <w:rPr>
          <w:rFonts w:ascii="Arial" w:hAnsi="Arial" w:cs="Arial"/>
          <w:b/>
          <w:bCs/>
          <w:color w:val="000000" w:themeColor="text1"/>
          <w:sz w:val="18"/>
          <w:szCs w:val="18"/>
        </w:rPr>
        <w:t>4-week period after the 28-day consultation</w:t>
      </w:r>
      <w:r w:rsidRPr="00780985">
        <w:rPr>
          <w:rFonts w:ascii="Arial" w:hAnsi="Arial" w:cs="Arial"/>
          <w:color w:val="000000" w:themeColor="text1"/>
          <w:sz w:val="18"/>
          <w:szCs w:val="18"/>
        </w:rPr>
        <w:t xml:space="preserve">. However, this can vary due to the authority’s workload. It may take longer than the statutory timeframe for the authority to process your application / hold the hearing. After the hearing you should receive a decision after </w:t>
      </w:r>
      <w:r w:rsidRPr="00780985">
        <w:rPr>
          <w:rFonts w:ascii="Arial" w:hAnsi="Arial" w:cs="Arial"/>
          <w:b/>
          <w:bCs/>
          <w:color w:val="000000" w:themeColor="text1"/>
          <w:sz w:val="18"/>
          <w:szCs w:val="18"/>
        </w:rPr>
        <w:t>5 working days</w:t>
      </w:r>
      <w:r w:rsidRPr="00780985">
        <w:rPr>
          <w:rFonts w:ascii="Arial" w:hAnsi="Arial" w:cs="Arial"/>
          <w:color w:val="000000" w:themeColor="text1"/>
          <w:sz w:val="18"/>
          <w:szCs w:val="18"/>
        </w:rPr>
        <w:t>. If your licence is granted, you can start trading immediately.</w:t>
      </w:r>
    </w:p>
    <w:p w14:paraId="6D8CC4B4" w14:textId="59A743A7" w:rsidR="00675C99" w:rsidRPr="00780985" w:rsidRDefault="00675C99" w:rsidP="00675C99">
      <w:pPr>
        <w:rPr>
          <w:rFonts w:ascii="Arial" w:hAnsi="Arial" w:cs="Arial"/>
          <w:color w:val="000000" w:themeColor="text1"/>
          <w:sz w:val="18"/>
          <w:szCs w:val="18"/>
        </w:rPr>
      </w:pPr>
      <w:r w:rsidRPr="00780985">
        <w:rPr>
          <w:rFonts w:ascii="Arial" w:hAnsi="Arial" w:cs="Arial"/>
          <w:b/>
          <w:bCs/>
          <w:color w:val="000000" w:themeColor="text1"/>
          <w:sz w:val="18"/>
          <w:szCs w:val="18"/>
          <w:u w:val="single"/>
        </w:rPr>
        <w:t>Can I appeal my application if refused?</w:t>
      </w:r>
    </w:p>
    <w:p w14:paraId="4C633190" w14:textId="77777777" w:rsidR="00675C99" w:rsidRPr="00780985" w:rsidRDefault="00675C99" w:rsidP="00675C99">
      <w:pPr>
        <w:rPr>
          <w:rFonts w:ascii="Arial" w:hAnsi="Arial" w:cs="Arial"/>
          <w:color w:val="000000" w:themeColor="text1"/>
          <w:sz w:val="18"/>
          <w:szCs w:val="18"/>
          <w:lang w:val="en"/>
        </w:rPr>
      </w:pPr>
      <w:r w:rsidRPr="00780985">
        <w:rPr>
          <w:rFonts w:ascii="Arial" w:hAnsi="Arial" w:cs="Arial"/>
          <w:color w:val="000000" w:themeColor="text1"/>
          <w:sz w:val="18"/>
          <w:szCs w:val="18"/>
        </w:rPr>
        <w:t xml:space="preserve">If the council refuses your application, you can appeal to the Magistrate’s Court. You can appeal within 21 days of being notified in writing of the decision. If you proceed to an appeal, then to obtain a decision could take an </w:t>
      </w:r>
      <w:r w:rsidRPr="00780985">
        <w:rPr>
          <w:rFonts w:ascii="Arial" w:hAnsi="Arial" w:cs="Arial"/>
          <w:b/>
          <w:bCs/>
          <w:color w:val="000000" w:themeColor="text1"/>
          <w:sz w:val="18"/>
          <w:szCs w:val="18"/>
        </w:rPr>
        <w:t>additional 6-12 months</w:t>
      </w:r>
      <w:r w:rsidRPr="00780985">
        <w:rPr>
          <w:rFonts w:ascii="Arial" w:hAnsi="Arial" w:cs="Arial"/>
          <w:color w:val="000000" w:themeColor="text1"/>
          <w:sz w:val="18"/>
          <w:szCs w:val="18"/>
        </w:rPr>
        <w:t>.</w:t>
      </w:r>
    </w:p>
    <w:p w14:paraId="1F8246BA" w14:textId="1D0494D3" w:rsidR="00780985" w:rsidRDefault="00D847DF" w:rsidP="00D847DF">
      <w:pPr>
        <w:rPr>
          <w:rStyle w:val="Strong"/>
          <w:rFonts w:ascii="Arial" w:hAnsi="Arial" w:cs="Arial"/>
          <w:color w:val="333333"/>
          <w:sz w:val="18"/>
          <w:szCs w:val="18"/>
          <w:bdr w:val="none" w:sz="0" w:space="0" w:color="auto" w:frame="1"/>
        </w:rPr>
      </w:pPr>
      <w:r w:rsidRPr="00780985">
        <w:rPr>
          <w:rStyle w:val="Strong"/>
          <w:rFonts w:ascii="Arial" w:hAnsi="Arial" w:cs="Arial"/>
          <w:color w:val="000000" w:themeColor="text1"/>
          <w:sz w:val="18"/>
          <w:szCs w:val="18"/>
          <w:u w:val="single"/>
          <w:shd w:val="clear" w:color="auto" w:fill="F3F3F3"/>
        </w:rPr>
        <w:t>Premise licence links</w:t>
      </w:r>
      <w:r w:rsidR="00780985" w:rsidRPr="00780985">
        <w:rPr>
          <w:rStyle w:val="Strong"/>
          <w:rFonts w:ascii="Arial" w:hAnsi="Arial" w:cs="Arial"/>
          <w:color w:val="000000" w:themeColor="text1"/>
          <w:sz w:val="18"/>
          <w:szCs w:val="18"/>
          <w:u w:val="single"/>
          <w:shd w:val="clear" w:color="auto" w:fill="F3F3F3"/>
        </w:rPr>
        <w:t>:</w:t>
      </w:r>
    </w:p>
    <w:p w14:paraId="296A2F7E" w14:textId="77777777" w:rsidR="003C4D45" w:rsidRDefault="00540E30" w:rsidP="00D847DF">
      <w:hyperlink r:id="rId7" w:history="1">
        <w:r w:rsidRPr="00441969">
          <w:rPr>
            <w:rStyle w:val="Hyperlink"/>
            <w:rFonts w:ascii="Arial" w:hAnsi="Arial" w:cs="Arial"/>
            <w:sz w:val="18"/>
            <w:szCs w:val="18"/>
            <w:bdr w:val="none" w:sz="0" w:space="0" w:color="auto" w:frame="1"/>
          </w:rPr>
          <w:t>https://www.harrow.gov.uk/environment-parks/host-event/4</w:t>
        </w:r>
        <w:r w:rsidRPr="00441969">
          <w:rPr>
            <w:rStyle w:val="Hyperlink"/>
            <w:rFonts w:ascii="Arial" w:hAnsi="Arial" w:cs="Arial"/>
            <w:sz w:val="18"/>
            <w:szCs w:val="18"/>
            <w:bdr w:val="none" w:sz="0" w:space="0" w:color="auto" w:frame="1"/>
          </w:rPr>
          <w:br/>
          <w:t>https://www.gov.uk/apply-for-a-licence/premises-licence/harrow/apply-1</w:t>
        </w:r>
        <w:r w:rsidRPr="00441969">
          <w:rPr>
            <w:rStyle w:val="Hyperlink"/>
            <w:rFonts w:ascii="Arial" w:hAnsi="Arial" w:cs="Arial"/>
            <w:sz w:val="18"/>
            <w:szCs w:val="18"/>
            <w:bdr w:val="none" w:sz="0" w:space="0" w:color="auto" w:frame="1"/>
          </w:rPr>
          <w:br/>
          <w:t>https://www.harrow.gov.uk/licences/premises-licence-application/3</w:t>
        </w:r>
      </w:hyperlink>
    </w:p>
    <w:p w14:paraId="1745EBE0" w14:textId="327DBE91" w:rsidR="00B57664" w:rsidRDefault="00B57664" w:rsidP="00D847DF">
      <w:r w:rsidRPr="00B57664">
        <w:rPr>
          <w:rFonts w:ascii="Montserrat" w:hAnsi="Montserrat"/>
          <w:b/>
          <w:bCs/>
          <w:color w:val="252B36"/>
          <w:sz w:val="23"/>
          <w:szCs w:val="23"/>
          <w:shd w:val="clear" w:color="auto" w:fill="F5F5F5"/>
        </w:rPr>
        <w:t>Email:</w:t>
      </w:r>
      <w:r w:rsidRPr="00B57664">
        <w:rPr>
          <w:rFonts w:ascii="Montserrat" w:hAnsi="Montserrat"/>
          <w:color w:val="252B36"/>
          <w:sz w:val="23"/>
          <w:szCs w:val="23"/>
          <w:shd w:val="clear" w:color="auto" w:fill="F5F5F5"/>
        </w:rPr>
        <w:t> </w:t>
      </w:r>
      <w:hyperlink r:id="rId8" w:history="1">
        <w:r w:rsidRPr="00B57664">
          <w:rPr>
            <w:rFonts w:ascii="Montserrat" w:hAnsi="Montserrat"/>
            <w:color w:val="252B36"/>
            <w:sz w:val="23"/>
            <w:szCs w:val="23"/>
            <w:u w:val="single"/>
            <w:shd w:val="clear" w:color="auto" w:fill="F5F5F5"/>
          </w:rPr>
          <w:t>licensing@harrow.gov.uk</w:t>
        </w:r>
      </w:hyperlink>
      <w:r>
        <w:t xml:space="preserve">  </w:t>
      </w:r>
    </w:p>
    <w:p w14:paraId="13E8A351" w14:textId="77777777" w:rsidR="00B57664" w:rsidRPr="00780985" w:rsidRDefault="00B57664" w:rsidP="00D847DF">
      <w:pPr>
        <w:rPr>
          <w:rFonts w:ascii="Arial" w:hAnsi="Arial" w:cs="Arial"/>
          <w:b/>
          <w:bCs/>
          <w:color w:val="333333"/>
          <w:sz w:val="18"/>
          <w:szCs w:val="18"/>
          <w:bdr w:val="none" w:sz="0" w:space="0" w:color="auto" w:frame="1"/>
        </w:rPr>
      </w:pPr>
    </w:p>
    <w:p w14:paraId="721148E0" w14:textId="77777777" w:rsidR="00675C99" w:rsidRPr="00675C99" w:rsidRDefault="00675C99">
      <w:pPr>
        <w:jc w:val="center"/>
        <w:rPr>
          <w:rFonts w:ascii="Arial" w:hAnsi="Arial" w:cs="Arial"/>
          <w:sz w:val="20"/>
          <w:szCs w:val="20"/>
        </w:rPr>
      </w:pPr>
    </w:p>
    <w:sectPr w:rsidR="00675C99" w:rsidRPr="00675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E3EF1"/>
    <w:multiLevelType w:val="multilevel"/>
    <w:tmpl w:val="E766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B94DE6"/>
    <w:multiLevelType w:val="multilevel"/>
    <w:tmpl w:val="6718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0846754">
    <w:abstractNumId w:val="1"/>
  </w:num>
  <w:num w:numId="2" w16cid:durableId="64326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99"/>
    <w:rsid w:val="001B6177"/>
    <w:rsid w:val="003902DC"/>
    <w:rsid w:val="003C4D45"/>
    <w:rsid w:val="00540E30"/>
    <w:rsid w:val="006324AD"/>
    <w:rsid w:val="00675C99"/>
    <w:rsid w:val="00780985"/>
    <w:rsid w:val="00816A94"/>
    <w:rsid w:val="00A8221A"/>
    <w:rsid w:val="00B57664"/>
    <w:rsid w:val="00CA4F89"/>
    <w:rsid w:val="00D847DF"/>
    <w:rsid w:val="00E43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E95C"/>
  <w15:chartTrackingRefBased/>
  <w15:docId w15:val="{2283372E-78F2-40DC-8010-41AABA7D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99"/>
    <w:pPr>
      <w:spacing w:line="278" w:lineRule="auto"/>
    </w:pPr>
    <w:rPr>
      <w:sz w:val="24"/>
      <w:szCs w:val="24"/>
    </w:rPr>
  </w:style>
  <w:style w:type="paragraph" w:styleId="Heading1">
    <w:name w:val="heading 1"/>
    <w:basedOn w:val="Normal"/>
    <w:next w:val="Normal"/>
    <w:link w:val="Heading1Char"/>
    <w:uiPriority w:val="9"/>
    <w:qFormat/>
    <w:rsid w:val="00675C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C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C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C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C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C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C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C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C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C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C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C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C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C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C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C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C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C99"/>
    <w:rPr>
      <w:rFonts w:eastAsiaTheme="majorEastAsia" w:cstheme="majorBidi"/>
      <w:color w:val="272727" w:themeColor="text1" w:themeTint="D8"/>
    </w:rPr>
  </w:style>
  <w:style w:type="paragraph" w:styleId="Title">
    <w:name w:val="Title"/>
    <w:basedOn w:val="Normal"/>
    <w:next w:val="Normal"/>
    <w:link w:val="TitleChar"/>
    <w:uiPriority w:val="10"/>
    <w:qFormat/>
    <w:rsid w:val="00675C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C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C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C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C99"/>
    <w:pPr>
      <w:spacing w:before="160"/>
      <w:jc w:val="center"/>
    </w:pPr>
    <w:rPr>
      <w:i/>
      <w:iCs/>
      <w:color w:val="404040" w:themeColor="text1" w:themeTint="BF"/>
    </w:rPr>
  </w:style>
  <w:style w:type="character" w:customStyle="1" w:styleId="QuoteChar">
    <w:name w:val="Quote Char"/>
    <w:basedOn w:val="DefaultParagraphFont"/>
    <w:link w:val="Quote"/>
    <w:uiPriority w:val="29"/>
    <w:rsid w:val="00675C99"/>
    <w:rPr>
      <w:i/>
      <w:iCs/>
      <w:color w:val="404040" w:themeColor="text1" w:themeTint="BF"/>
    </w:rPr>
  </w:style>
  <w:style w:type="paragraph" w:styleId="ListParagraph">
    <w:name w:val="List Paragraph"/>
    <w:basedOn w:val="Normal"/>
    <w:uiPriority w:val="34"/>
    <w:qFormat/>
    <w:rsid w:val="00675C99"/>
    <w:pPr>
      <w:ind w:left="720"/>
      <w:contextualSpacing/>
    </w:pPr>
  </w:style>
  <w:style w:type="character" w:styleId="IntenseEmphasis">
    <w:name w:val="Intense Emphasis"/>
    <w:basedOn w:val="DefaultParagraphFont"/>
    <w:uiPriority w:val="21"/>
    <w:qFormat/>
    <w:rsid w:val="00675C99"/>
    <w:rPr>
      <w:i/>
      <w:iCs/>
      <w:color w:val="0F4761" w:themeColor="accent1" w:themeShade="BF"/>
    </w:rPr>
  </w:style>
  <w:style w:type="paragraph" w:styleId="IntenseQuote">
    <w:name w:val="Intense Quote"/>
    <w:basedOn w:val="Normal"/>
    <w:next w:val="Normal"/>
    <w:link w:val="IntenseQuoteChar"/>
    <w:uiPriority w:val="30"/>
    <w:qFormat/>
    <w:rsid w:val="00675C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C99"/>
    <w:rPr>
      <w:i/>
      <w:iCs/>
      <w:color w:val="0F4761" w:themeColor="accent1" w:themeShade="BF"/>
    </w:rPr>
  </w:style>
  <w:style w:type="character" w:styleId="IntenseReference">
    <w:name w:val="Intense Reference"/>
    <w:basedOn w:val="DefaultParagraphFont"/>
    <w:uiPriority w:val="32"/>
    <w:qFormat/>
    <w:rsid w:val="00675C99"/>
    <w:rPr>
      <w:b/>
      <w:bCs/>
      <w:smallCaps/>
      <w:color w:val="0F4761" w:themeColor="accent1" w:themeShade="BF"/>
      <w:spacing w:val="5"/>
    </w:rPr>
  </w:style>
  <w:style w:type="character" w:styleId="Strong">
    <w:name w:val="Strong"/>
    <w:basedOn w:val="DefaultParagraphFont"/>
    <w:uiPriority w:val="22"/>
    <w:qFormat/>
    <w:rsid w:val="00D847DF"/>
    <w:rPr>
      <w:b/>
      <w:bCs/>
    </w:rPr>
  </w:style>
  <w:style w:type="character" w:styleId="Hyperlink">
    <w:name w:val="Hyperlink"/>
    <w:basedOn w:val="DefaultParagraphFont"/>
    <w:uiPriority w:val="99"/>
    <w:unhideWhenUsed/>
    <w:rsid w:val="00D847DF"/>
    <w:rPr>
      <w:color w:val="0000FF"/>
      <w:u w:val="single"/>
    </w:rPr>
  </w:style>
  <w:style w:type="character" w:styleId="UnresolvedMention">
    <w:name w:val="Unresolved Mention"/>
    <w:basedOn w:val="DefaultParagraphFont"/>
    <w:uiPriority w:val="99"/>
    <w:semiHidden/>
    <w:unhideWhenUsed/>
    <w:rsid w:val="00D84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harrow.gov.uk" TargetMode="External"/><Relationship Id="rId3" Type="http://schemas.openxmlformats.org/officeDocument/2006/relationships/settings" Target="settings.xml"/><Relationship Id="rId7" Type="http://schemas.openxmlformats.org/officeDocument/2006/relationships/hyperlink" Target="https://www.harrow.gov.uk/environment-parks/host-event/4https://www.gov.uk/apply-for-a-licence/premises-licence/harrow/apply-1https://www.harrow.gov.uk/licences/premises-licence-application/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86A0.91764C2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Thomas</dc:creator>
  <cp:keywords/>
  <dc:description/>
  <cp:lastModifiedBy/>
  <cp:revision>1</cp:revision>
  <dcterms:created xsi:type="dcterms:W3CDTF">2025-02-28T10:25:00Z</dcterms:created>
</cp:coreProperties>
</file>