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r w:rsidRPr="00C73C3E">
        <w:rPr>
          <w:rFonts w:cs="Courier New"/>
          <w:b/>
          <w:noProof/>
          <w:sz w:val="24"/>
          <w:szCs w:val="24"/>
          <w:lang w:eastAsia="en-GB"/>
        </w:rPr>
        <w:drawing>
          <wp:anchor distT="0" distB="0" distL="114300" distR="114300" simplePos="0" relativeHeight="251658240" behindDoc="0" locked="0" layoutInCell="1" allowOverlap="1">
            <wp:simplePos x="2695575" y="1885950"/>
            <wp:positionH relativeFrom="margin">
              <wp:align>center</wp:align>
            </wp:positionH>
            <wp:positionV relativeFrom="margin">
              <wp:align>top</wp:align>
            </wp:positionV>
            <wp:extent cx="2161540" cy="1853565"/>
            <wp:effectExtent l="0" t="0" r="0" b="0"/>
            <wp:wrapSquare wrapText="bothSides"/>
            <wp:docPr id="1" name="Picture 4" descr="\\mkipfile02\home$\MattR\Documents\Images &amp; Logos\Partner Agency Logos\MBC_Portrait-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kipfile02\home$\MattR\Documents\Images &amp; Logos\Partner Agency Logos\MBC_Portrait-Ta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1540" cy="1853565"/>
                    </a:xfrm>
                    <a:prstGeom prst="rect">
                      <a:avLst/>
                    </a:prstGeom>
                    <a:noFill/>
                    <a:ln>
                      <a:noFill/>
                    </a:ln>
                  </pic:spPr>
                </pic:pic>
              </a:graphicData>
            </a:graphic>
          </wp:anchor>
        </w:drawing>
      </w: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Pr="005061C3" w:rsidRDefault="005061C3" w:rsidP="005061C3">
      <w:pPr>
        <w:rPr>
          <w:rFonts w:ascii="Verdana" w:hAnsi="Verdana"/>
          <w:sz w:val="40"/>
        </w:rPr>
      </w:pPr>
    </w:p>
    <w:p w:rsidR="005F408E" w:rsidRPr="005061C3" w:rsidRDefault="0094594D" w:rsidP="0094594D">
      <w:pPr>
        <w:jc w:val="center"/>
        <w:rPr>
          <w:rFonts w:ascii="Verdana" w:hAnsi="Verdana"/>
          <w:b/>
          <w:sz w:val="40"/>
        </w:rPr>
      </w:pPr>
      <w:r w:rsidRPr="005061C3">
        <w:rPr>
          <w:rFonts w:ascii="Verdana" w:hAnsi="Verdana"/>
          <w:b/>
          <w:sz w:val="40"/>
        </w:rPr>
        <w:t xml:space="preserve">Maidstone Safety Advisory Group </w:t>
      </w:r>
    </w:p>
    <w:p w:rsidR="005061C3" w:rsidRPr="005061C3" w:rsidRDefault="005061C3" w:rsidP="0094594D">
      <w:pPr>
        <w:jc w:val="center"/>
        <w:rPr>
          <w:rFonts w:ascii="Verdana" w:hAnsi="Verdana"/>
          <w:b/>
          <w:sz w:val="40"/>
        </w:rPr>
      </w:pPr>
    </w:p>
    <w:p w:rsidR="0094594D" w:rsidRPr="005061C3" w:rsidRDefault="0094594D" w:rsidP="0094594D">
      <w:pPr>
        <w:jc w:val="center"/>
        <w:rPr>
          <w:rFonts w:ascii="Verdana" w:hAnsi="Verdana"/>
          <w:b/>
          <w:sz w:val="40"/>
        </w:rPr>
      </w:pPr>
      <w:r w:rsidRPr="005061C3">
        <w:rPr>
          <w:rFonts w:ascii="Verdana" w:hAnsi="Verdana"/>
          <w:b/>
          <w:sz w:val="40"/>
        </w:rPr>
        <w:t>FAQs</w:t>
      </w: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94594D">
      <w:pPr>
        <w:jc w:val="center"/>
      </w:pPr>
    </w:p>
    <w:p w:rsidR="005061C3" w:rsidRDefault="005061C3" w:rsidP="005061C3"/>
    <w:p w:rsidR="005061C3" w:rsidRDefault="005061C3" w:rsidP="005061C3"/>
    <w:p w:rsidR="005061C3" w:rsidRPr="005061C3" w:rsidRDefault="005061C3" w:rsidP="005061C3">
      <w:pPr>
        <w:jc w:val="center"/>
        <w:rPr>
          <w:rFonts w:ascii="Verdana" w:hAnsi="Verdana"/>
          <w:b/>
          <w:sz w:val="28"/>
          <w:u w:val="single"/>
        </w:rPr>
      </w:pPr>
      <w:r w:rsidRPr="005061C3">
        <w:rPr>
          <w:rFonts w:ascii="Verdana" w:hAnsi="Verdana"/>
          <w:b/>
          <w:sz w:val="28"/>
          <w:u w:val="single"/>
        </w:rPr>
        <w:lastRenderedPageBreak/>
        <w:t>Frequently Asked Questions</w:t>
      </w:r>
    </w:p>
    <w:p w:rsidR="005061C3" w:rsidRPr="005061C3" w:rsidRDefault="005061C3" w:rsidP="0094594D">
      <w:pPr>
        <w:jc w:val="center"/>
        <w:rPr>
          <w:rFonts w:ascii="Verdana" w:hAnsi="Verdana"/>
        </w:rPr>
      </w:pPr>
    </w:p>
    <w:p w:rsidR="0094594D" w:rsidRDefault="0094594D" w:rsidP="005061C3">
      <w:pPr>
        <w:pStyle w:val="ListParagraph"/>
        <w:numPr>
          <w:ilvl w:val="0"/>
          <w:numId w:val="2"/>
        </w:numPr>
        <w:rPr>
          <w:rFonts w:ascii="Verdana" w:hAnsi="Verdana"/>
        </w:rPr>
      </w:pPr>
      <w:r w:rsidRPr="005061C3">
        <w:rPr>
          <w:rFonts w:ascii="Verdana" w:hAnsi="Verdana"/>
        </w:rPr>
        <w:t>What is the purpose of the Safety Advisory Group</w:t>
      </w:r>
      <w:r w:rsidR="00AB64E2">
        <w:rPr>
          <w:rFonts w:ascii="Verdana" w:hAnsi="Verdana"/>
        </w:rPr>
        <w:t xml:space="preserve"> (SAG)</w:t>
      </w:r>
      <w:r w:rsidRPr="005061C3">
        <w:rPr>
          <w:rFonts w:ascii="Verdana" w:hAnsi="Verdana"/>
        </w:rPr>
        <w:t>?</w:t>
      </w:r>
    </w:p>
    <w:p w:rsidR="005061C3" w:rsidRDefault="005061C3" w:rsidP="005061C3">
      <w:pPr>
        <w:pStyle w:val="ListParagraph"/>
        <w:rPr>
          <w:rFonts w:ascii="Verdana" w:hAnsi="Verdana"/>
        </w:rPr>
      </w:pPr>
    </w:p>
    <w:p w:rsidR="00AB64E2" w:rsidRPr="00AB64E2" w:rsidRDefault="00AB64E2" w:rsidP="00AB64E2">
      <w:pPr>
        <w:pStyle w:val="ListParagraph"/>
        <w:numPr>
          <w:ilvl w:val="0"/>
          <w:numId w:val="49"/>
        </w:numPr>
        <w:rPr>
          <w:rFonts w:ascii="Verdana" w:hAnsi="Verdana"/>
        </w:rPr>
      </w:pPr>
      <w:r w:rsidRPr="00AB64E2">
        <w:rPr>
          <w:rFonts w:ascii="Verdana" w:hAnsi="Verdana" w:cs="Arial"/>
          <w:color w:val="111111"/>
        </w:rPr>
        <w:t>SAGs provide a forum for discussing and advising on public safety at an event. They aim to help organisers with the planning, and management of an event and to encourage cooperation and coordination between all relevant agencies. They are non-statutory bodies and so do not have legal powers or responsibilities, and are not empowered to approve or prohibit events from taking place. Event organisers and others involved in the running of an event, retain the principal legal duties for ensuring public safety.</w:t>
      </w:r>
    </w:p>
    <w:p w:rsidR="00AB64E2" w:rsidRDefault="00AB64E2" w:rsidP="00AB64E2">
      <w:pPr>
        <w:pStyle w:val="ListParagraph"/>
        <w:rPr>
          <w:rFonts w:ascii="Verdana" w:hAnsi="Verdana"/>
        </w:rPr>
      </w:pPr>
    </w:p>
    <w:p w:rsidR="00AB64E2" w:rsidRDefault="00AB64E2" w:rsidP="00AB64E2">
      <w:pPr>
        <w:pStyle w:val="ListParagraph"/>
        <w:rPr>
          <w:rFonts w:ascii="Verdana" w:hAnsi="Verdana" w:cs="Arial"/>
          <w:color w:val="111111"/>
        </w:rPr>
      </w:pPr>
      <w:r w:rsidRPr="00AB64E2">
        <w:rPr>
          <w:rFonts w:ascii="Verdana" w:hAnsi="Verdana" w:cs="Arial"/>
          <w:color w:val="111111"/>
        </w:rPr>
        <w:t xml:space="preserve">On the rare occasion where there is disagreement between </w:t>
      </w:r>
      <w:r w:rsidR="00F46398" w:rsidRPr="00AB64E2">
        <w:rPr>
          <w:rFonts w:ascii="Verdana" w:hAnsi="Verdana" w:cs="Arial"/>
          <w:color w:val="111111"/>
        </w:rPr>
        <w:t>SAG</w:t>
      </w:r>
      <w:r w:rsidRPr="00AB64E2">
        <w:rPr>
          <w:rFonts w:ascii="Verdana" w:hAnsi="Verdana" w:cs="Arial"/>
          <w:color w:val="111111"/>
        </w:rPr>
        <w:t xml:space="preserve"> and the event organiser, and there remains a genuine risk to the public, individual organisations on the SAG such as the police, may decide to act to resolve the issue. Decisions on the use of these powers are matters for the relevant authorities to consider, not the SAG and should be discharged separately.</w:t>
      </w:r>
    </w:p>
    <w:p w:rsidR="00AB64E2" w:rsidRDefault="00AB64E2" w:rsidP="00AB64E2">
      <w:pPr>
        <w:pStyle w:val="ListParagraph"/>
        <w:rPr>
          <w:rFonts w:ascii="Verdana" w:hAnsi="Verdana"/>
        </w:rPr>
      </w:pPr>
    </w:p>
    <w:p w:rsidR="006860C8" w:rsidRPr="00AB64E2" w:rsidRDefault="006860C8" w:rsidP="00AB64E2">
      <w:pPr>
        <w:pStyle w:val="ListParagraph"/>
        <w:rPr>
          <w:rFonts w:ascii="Verdana" w:hAnsi="Verdana"/>
        </w:rPr>
      </w:pPr>
    </w:p>
    <w:p w:rsidR="005061C3" w:rsidRDefault="005061C3" w:rsidP="005061C3">
      <w:pPr>
        <w:ind w:left="360"/>
        <w:rPr>
          <w:rFonts w:ascii="Verdana" w:hAnsi="Verdana"/>
        </w:rPr>
      </w:pPr>
      <w:r w:rsidRPr="005061C3">
        <w:rPr>
          <w:rFonts w:ascii="Verdana" w:hAnsi="Verdana"/>
          <w:b/>
        </w:rPr>
        <w:t>Q.</w:t>
      </w:r>
      <w:r>
        <w:rPr>
          <w:rFonts w:ascii="Verdana" w:hAnsi="Verdana"/>
        </w:rPr>
        <w:t xml:space="preserve"> Who is the Safety Advisory Group?</w:t>
      </w:r>
    </w:p>
    <w:p w:rsidR="005061C3" w:rsidRDefault="005061C3" w:rsidP="005061C3">
      <w:pPr>
        <w:pStyle w:val="ListParagraph"/>
        <w:numPr>
          <w:ilvl w:val="0"/>
          <w:numId w:val="11"/>
        </w:numPr>
        <w:rPr>
          <w:rFonts w:ascii="Verdana" w:hAnsi="Verdana"/>
        </w:rPr>
      </w:pPr>
      <w:r w:rsidRPr="005061C3">
        <w:rPr>
          <w:rFonts w:ascii="Verdana" w:hAnsi="Verdana"/>
        </w:rPr>
        <w:t>The Safety Advisory Group comprises of members from a variety of agencies and departments who can give specific advice concerning events.</w:t>
      </w:r>
    </w:p>
    <w:p w:rsidR="005061C3" w:rsidRDefault="005061C3" w:rsidP="005061C3">
      <w:pPr>
        <w:pStyle w:val="ListParagraph"/>
        <w:rPr>
          <w:rFonts w:ascii="Verdana" w:hAnsi="Verdana"/>
        </w:rPr>
      </w:pPr>
    </w:p>
    <w:p w:rsidR="005061C3" w:rsidRPr="005061C3" w:rsidRDefault="005061C3" w:rsidP="005061C3">
      <w:pPr>
        <w:pStyle w:val="ListParagraph"/>
        <w:rPr>
          <w:rFonts w:ascii="Verdana" w:hAnsi="Verdana"/>
        </w:rPr>
      </w:pPr>
      <w:r w:rsidRPr="005061C3">
        <w:rPr>
          <w:rFonts w:ascii="Verdana" w:hAnsi="Verdana"/>
        </w:rPr>
        <w:t>Our core members are:</w:t>
      </w:r>
    </w:p>
    <w:p w:rsidR="005061C3" w:rsidRPr="00FB0883" w:rsidRDefault="005061C3" w:rsidP="005061C3">
      <w:pPr>
        <w:pStyle w:val="ListParagraph"/>
        <w:numPr>
          <w:ilvl w:val="0"/>
          <w:numId w:val="6"/>
        </w:numPr>
        <w:spacing w:after="0" w:line="240" w:lineRule="auto"/>
        <w:ind w:left="1134"/>
        <w:jc w:val="both"/>
        <w:rPr>
          <w:rFonts w:ascii="Verdana" w:hAnsi="Verdana"/>
        </w:rPr>
      </w:pPr>
      <w:r w:rsidRPr="00FB0883">
        <w:rPr>
          <w:rFonts w:ascii="Verdana" w:hAnsi="Verdana"/>
        </w:rPr>
        <w:t>Local Authority (LA) (</w:t>
      </w:r>
      <w:r>
        <w:rPr>
          <w:rFonts w:ascii="Verdana" w:hAnsi="Verdana"/>
        </w:rPr>
        <w:t xml:space="preserve">SAG </w:t>
      </w:r>
      <w:r w:rsidRPr="00FB0883">
        <w:rPr>
          <w:rFonts w:ascii="Verdana" w:hAnsi="Verdana"/>
        </w:rPr>
        <w:t>Chair)</w:t>
      </w:r>
    </w:p>
    <w:p w:rsidR="005061C3" w:rsidRPr="00FB0883" w:rsidRDefault="005061C3" w:rsidP="005061C3">
      <w:pPr>
        <w:pStyle w:val="ListParagraph"/>
        <w:numPr>
          <w:ilvl w:val="0"/>
          <w:numId w:val="7"/>
        </w:numPr>
        <w:spacing w:after="0" w:line="240" w:lineRule="auto"/>
        <w:jc w:val="both"/>
        <w:rPr>
          <w:rFonts w:ascii="Verdana" w:hAnsi="Verdana"/>
        </w:rPr>
      </w:pPr>
      <w:r w:rsidRPr="00FB0883">
        <w:rPr>
          <w:rFonts w:ascii="Verdana" w:hAnsi="Verdana"/>
        </w:rPr>
        <w:t>Licensing Officer (LA)</w:t>
      </w:r>
    </w:p>
    <w:p w:rsidR="005061C3" w:rsidRPr="00FB0883" w:rsidRDefault="005061C3" w:rsidP="005061C3">
      <w:pPr>
        <w:pStyle w:val="ListParagraph"/>
        <w:numPr>
          <w:ilvl w:val="0"/>
          <w:numId w:val="7"/>
        </w:numPr>
        <w:spacing w:after="0" w:line="240" w:lineRule="auto"/>
        <w:jc w:val="both"/>
        <w:rPr>
          <w:rFonts w:ascii="Verdana" w:hAnsi="Verdana"/>
        </w:rPr>
      </w:pPr>
      <w:r w:rsidRPr="00FB0883">
        <w:rPr>
          <w:rFonts w:ascii="Verdana" w:hAnsi="Verdana"/>
        </w:rPr>
        <w:t>Building Control (LA)</w:t>
      </w:r>
    </w:p>
    <w:p w:rsidR="005061C3" w:rsidRPr="00FB0883" w:rsidRDefault="005061C3" w:rsidP="005061C3">
      <w:pPr>
        <w:pStyle w:val="ListParagraph"/>
        <w:numPr>
          <w:ilvl w:val="0"/>
          <w:numId w:val="7"/>
        </w:numPr>
        <w:spacing w:after="0" w:line="240" w:lineRule="auto"/>
        <w:jc w:val="both"/>
        <w:rPr>
          <w:rFonts w:ascii="Verdana" w:hAnsi="Verdana"/>
        </w:rPr>
      </w:pPr>
      <w:r>
        <w:rPr>
          <w:rFonts w:ascii="Verdana" w:hAnsi="Verdana"/>
        </w:rPr>
        <w:t>Food &amp; Safety</w:t>
      </w:r>
      <w:r w:rsidRPr="00FB0883">
        <w:rPr>
          <w:rFonts w:ascii="Verdana" w:hAnsi="Verdana"/>
        </w:rPr>
        <w:t xml:space="preserve"> (LA)</w:t>
      </w:r>
    </w:p>
    <w:p w:rsidR="005061C3" w:rsidRDefault="005061C3" w:rsidP="005061C3">
      <w:pPr>
        <w:pStyle w:val="ListParagraph"/>
        <w:numPr>
          <w:ilvl w:val="0"/>
          <w:numId w:val="7"/>
        </w:numPr>
        <w:spacing w:after="0" w:line="240" w:lineRule="auto"/>
        <w:jc w:val="both"/>
        <w:rPr>
          <w:rFonts w:ascii="Verdana" w:hAnsi="Verdana"/>
        </w:rPr>
      </w:pPr>
      <w:r>
        <w:rPr>
          <w:rFonts w:ascii="Verdana" w:hAnsi="Verdana"/>
        </w:rPr>
        <w:t>Community Protection</w:t>
      </w:r>
      <w:r w:rsidRPr="00FB0883">
        <w:rPr>
          <w:rFonts w:ascii="Verdana" w:hAnsi="Verdana"/>
        </w:rPr>
        <w:t xml:space="preserve"> (LA)</w:t>
      </w:r>
    </w:p>
    <w:p w:rsidR="005061C3" w:rsidRDefault="005061C3" w:rsidP="005061C3">
      <w:pPr>
        <w:pStyle w:val="ListParagraph"/>
        <w:numPr>
          <w:ilvl w:val="0"/>
          <w:numId w:val="7"/>
        </w:numPr>
        <w:spacing w:after="0" w:line="240" w:lineRule="auto"/>
        <w:jc w:val="both"/>
        <w:rPr>
          <w:rFonts w:ascii="Verdana" w:hAnsi="Verdana"/>
        </w:rPr>
      </w:pPr>
      <w:r>
        <w:rPr>
          <w:rFonts w:ascii="Verdana" w:hAnsi="Verdana"/>
        </w:rPr>
        <w:t>Street Scene (LA)</w:t>
      </w:r>
    </w:p>
    <w:p w:rsidR="005061C3" w:rsidRPr="00FB0883" w:rsidRDefault="005061C3" w:rsidP="005061C3">
      <w:pPr>
        <w:pStyle w:val="ListParagraph"/>
        <w:numPr>
          <w:ilvl w:val="0"/>
          <w:numId w:val="6"/>
        </w:numPr>
        <w:spacing w:after="0" w:line="240" w:lineRule="auto"/>
        <w:ind w:left="1134"/>
        <w:jc w:val="both"/>
        <w:rPr>
          <w:rFonts w:ascii="Verdana" w:hAnsi="Verdana"/>
        </w:rPr>
      </w:pPr>
      <w:r w:rsidRPr="00FB0883">
        <w:rPr>
          <w:rFonts w:ascii="Verdana" w:hAnsi="Verdana"/>
        </w:rPr>
        <w:t>Kent County Council Highways and Transportation</w:t>
      </w:r>
    </w:p>
    <w:p w:rsidR="005061C3" w:rsidRPr="00FB0883" w:rsidRDefault="005061C3" w:rsidP="005061C3">
      <w:pPr>
        <w:pStyle w:val="ListParagraph"/>
        <w:numPr>
          <w:ilvl w:val="0"/>
          <w:numId w:val="6"/>
        </w:numPr>
        <w:spacing w:after="0" w:line="240" w:lineRule="auto"/>
        <w:ind w:left="1134"/>
        <w:jc w:val="both"/>
        <w:rPr>
          <w:rFonts w:ascii="Verdana" w:hAnsi="Verdana"/>
        </w:rPr>
      </w:pPr>
      <w:r w:rsidRPr="00FB0883">
        <w:rPr>
          <w:rFonts w:ascii="Verdana" w:hAnsi="Verdana"/>
        </w:rPr>
        <w:t xml:space="preserve">Kent Police </w:t>
      </w:r>
    </w:p>
    <w:p w:rsidR="005061C3" w:rsidRPr="00FB0883" w:rsidRDefault="005061C3" w:rsidP="005061C3">
      <w:pPr>
        <w:pStyle w:val="ListParagraph"/>
        <w:numPr>
          <w:ilvl w:val="0"/>
          <w:numId w:val="6"/>
        </w:numPr>
        <w:spacing w:after="0" w:line="240" w:lineRule="auto"/>
        <w:ind w:left="1134"/>
        <w:jc w:val="both"/>
        <w:rPr>
          <w:rFonts w:ascii="Verdana" w:hAnsi="Verdana"/>
        </w:rPr>
      </w:pPr>
      <w:r w:rsidRPr="00FB0883">
        <w:rPr>
          <w:rFonts w:ascii="Verdana" w:hAnsi="Verdana"/>
        </w:rPr>
        <w:t>Kent Fire and Rescue Service</w:t>
      </w:r>
    </w:p>
    <w:p w:rsidR="005061C3" w:rsidRDefault="005061C3" w:rsidP="005061C3">
      <w:pPr>
        <w:pStyle w:val="ListParagraph"/>
        <w:numPr>
          <w:ilvl w:val="0"/>
          <w:numId w:val="6"/>
        </w:numPr>
        <w:spacing w:after="0" w:line="240" w:lineRule="auto"/>
        <w:ind w:left="1134"/>
        <w:jc w:val="both"/>
        <w:rPr>
          <w:rFonts w:ascii="Verdana" w:hAnsi="Verdana"/>
        </w:rPr>
      </w:pPr>
      <w:r w:rsidRPr="00FB0883">
        <w:rPr>
          <w:rFonts w:ascii="Verdana" w:hAnsi="Verdana"/>
        </w:rPr>
        <w:t>South East Coast Ambulance Service (SECAMB)</w:t>
      </w:r>
    </w:p>
    <w:p w:rsidR="005061C3" w:rsidRDefault="005061C3" w:rsidP="005061C3">
      <w:pPr>
        <w:pStyle w:val="ListParagraph"/>
        <w:numPr>
          <w:ilvl w:val="0"/>
          <w:numId w:val="6"/>
        </w:numPr>
        <w:spacing w:after="0" w:line="240" w:lineRule="auto"/>
        <w:ind w:left="1134"/>
        <w:jc w:val="both"/>
        <w:rPr>
          <w:rFonts w:ascii="Verdana" w:hAnsi="Verdana"/>
        </w:rPr>
      </w:pPr>
      <w:r w:rsidRPr="005061C3">
        <w:rPr>
          <w:rFonts w:ascii="Verdana" w:hAnsi="Verdana"/>
        </w:rPr>
        <w:t>Maidstone &amp; Tunbridge Wells NHS</w:t>
      </w:r>
    </w:p>
    <w:p w:rsidR="006E4EB1" w:rsidRDefault="005061C3" w:rsidP="005061C3">
      <w:pPr>
        <w:pStyle w:val="ListParagraph"/>
        <w:numPr>
          <w:ilvl w:val="0"/>
          <w:numId w:val="6"/>
        </w:numPr>
        <w:spacing w:after="0" w:line="240" w:lineRule="auto"/>
        <w:ind w:left="1134"/>
        <w:jc w:val="both"/>
        <w:rPr>
          <w:rFonts w:ascii="Verdana" w:hAnsi="Verdana"/>
        </w:rPr>
      </w:pPr>
      <w:r>
        <w:rPr>
          <w:rFonts w:ascii="Verdana" w:hAnsi="Verdana"/>
        </w:rPr>
        <w:t>Kent Resilience Team</w:t>
      </w:r>
    </w:p>
    <w:p w:rsidR="006E4EB1" w:rsidRDefault="006E4EB1" w:rsidP="006E4EB1">
      <w:pPr>
        <w:spacing w:after="0" w:line="240" w:lineRule="auto"/>
        <w:ind w:left="774"/>
        <w:jc w:val="both"/>
        <w:rPr>
          <w:rFonts w:ascii="Verdana" w:hAnsi="Verdana"/>
        </w:rPr>
      </w:pPr>
    </w:p>
    <w:p w:rsidR="006E4EB1" w:rsidRPr="006E4EB1" w:rsidRDefault="006E4EB1" w:rsidP="006E4EB1">
      <w:pPr>
        <w:spacing w:after="0" w:line="240" w:lineRule="auto"/>
        <w:ind w:left="774"/>
        <w:jc w:val="both"/>
        <w:rPr>
          <w:rFonts w:ascii="Verdana" w:hAnsi="Verdana"/>
        </w:rPr>
      </w:pPr>
      <w:r>
        <w:rPr>
          <w:rFonts w:ascii="Verdana" w:hAnsi="Verdana"/>
        </w:rPr>
        <w:t xml:space="preserve">We may invite other agencies where appropriate. </w:t>
      </w:r>
    </w:p>
    <w:p w:rsidR="005061C3" w:rsidRDefault="005061C3" w:rsidP="005061C3">
      <w:pPr>
        <w:spacing w:after="0" w:line="240" w:lineRule="auto"/>
        <w:jc w:val="both"/>
        <w:rPr>
          <w:rFonts w:ascii="Verdana" w:hAnsi="Verdana"/>
        </w:rPr>
      </w:pPr>
    </w:p>
    <w:p w:rsidR="005061C3" w:rsidRDefault="005061C3" w:rsidP="005061C3">
      <w:pPr>
        <w:spacing w:after="0" w:line="240" w:lineRule="auto"/>
        <w:jc w:val="both"/>
        <w:rPr>
          <w:rFonts w:ascii="Verdana" w:hAnsi="Verdana"/>
        </w:rPr>
      </w:pPr>
    </w:p>
    <w:p w:rsidR="00F46398" w:rsidRDefault="00F46398" w:rsidP="005061C3">
      <w:pPr>
        <w:spacing w:after="0" w:line="240" w:lineRule="auto"/>
        <w:jc w:val="both"/>
        <w:rPr>
          <w:rFonts w:ascii="Verdana" w:hAnsi="Verdana"/>
        </w:rPr>
      </w:pPr>
    </w:p>
    <w:p w:rsidR="00F46398" w:rsidRDefault="00F46398" w:rsidP="005061C3">
      <w:pPr>
        <w:spacing w:after="0" w:line="240" w:lineRule="auto"/>
        <w:jc w:val="both"/>
        <w:rPr>
          <w:rFonts w:ascii="Verdana" w:hAnsi="Verdana"/>
        </w:rPr>
      </w:pPr>
    </w:p>
    <w:p w:rsidR="00F46398" w:rsidRDefault="00F46398" w:rsidP="005061C3">
      <w:pPr>
        <w:spacing w:after="0" w:line="240" w:lineRule="auto"/>
        <w:jc w:val="both"/>
        <w:rPr>
          <w:rFonts w:ascii="Verdana" w:hAnsi="Verdana"/>
        </w:rPr>
      </w:pPr>
    </w:p>
    <w:p w:rsidR="00F46398" w:rsidRDefault="00F46398" w:rsidP="005061C3">
      <w:pPr>
        <w:spacing w:after="0" w:line="240" w:lineRule="auto"/>
        <w:jc w:val="both"/>
        <w:rPr>
          <w:rFonts w:ascii="Verdana" w:hAnsi="Verdana"/>
        </w:rPr>
      </w:pPr>
    </w:p>
    <w:p w:rsidR="005061C3" w:rsidRPr="005061C3" w:rsidRDefault="005061C3" w:rsidP="005061C3">
      <w:pPr>
        <w:pStyle w:val="ListParagraph"/>
        <w:numPr>
          <w:ilvl w:val="0"/>
          <w:numId w:val="16"/>
        </w:numPr>
        <w:spacing w:after="0" w:line="240" w:lineRule="auto"/>
        <w:jc w:val="both"/>
        <w:rPr>
          <w:rFonts w:ascii="Verdana" w:hAnsi="Verdana"/>
        </w:rPr>
      </w:pPr>
      <w:r w:rsidRPr="005061C3">
        <w:rPr>
          <w:rFonts w:ascii="Verdana" w:hAnsi="Verdana"/>
        </w:rPr>
        <w:t>What is the benefit of engaging with the Safety Advisory Group?</w:t>
      </w:r>
    </w:p>
    <w:p w:rsidR="005061C3" w:rsidRDefault="005061C3" w:rsidP="005061C3">
      <w:pPr>
        <w:spacing w:after="0" w:line="240" w:lineRule="auto"/>
        <w:jc w:val="both"/>
        <w:rPr>
          <w:rFonts w:ascii="Verdana" w:hAnsi="Verdana"/>
        </w:rPr>
      </w:pPr>
    </w:p>
    <w:p w:rsidR="005061C3" w:rsidRDefault="005061C3" w:rsidP="005061C3">
      <w:pPr>
        <w:pStyle w:val="ListParagraph"/>
        <w:numPr>
          <w:ilvl w:val="0"/>
          <w:numId w:val="15"/>
        </w:numPr>
        <w:spacing w:after="0" w:line="240" w:lineRule="auto"/>
        <w:jc w:val="both"/>
        <w:rPr>
          <w:rFonts w:ascii="Verdana" w:hAnsi="Verdana"/>
        </w:rPr>
      </w:pPr>
      <w:r w:rsidRPr="005061C3">
        <w:rPr>
          <w:rFonts w:ascii="Verdana" w:hAnsi="Verdana"/>
        </w:rPr>
        <w:t xml:space="preserve">By engaging with the Safety Advisory Group process and submitting your </w:t>
      </w:r>
      <w:r>
        <w:rPr>
          <w:rFonts w:ascii="Verdana" w:hAnsi="Verdana"/>
        </w:rPr>
        <w:t xml:space="preserve">event safety </w:t>
      </w:r>
      <w:r w:rsidRPr="005061C3">
        <w:rPr>
          <w:rFonts w:ascii="Verdana" w:hAnsi="Verdana"/>
        </w:rPr>
        <w:t xml:space="preserve">plans for review, you have free of charge access to a wealth of expertise and advice to help you plan </w:t>
      </w:r>
      <w:r>
        <w:rPr>
          <w:rFonts w:ascii="Verdana" w:hAnsi="Verdana"/>
        </w:rPr>
        <w:t xml:space="preserve">comprehensively. </w:t>
      </w:r>
    </w:p>
    <w:p w:rsidR="005061C3" w:rsidRDefault="005061C3" w:rsidP="005061C3">
      <w:pPr>
        <w:pStyle w:val="ListParagraph"/>
        <w:spacing w:after="0" w:line="240" w:lineRule="auto"/>
        <w:jc w:val="both"/>
        <w:rPr>
          <w:rFonts w:ascii="Verdana" w:hAnsi="Verdana"/>
        </w:rPr>
      </w:pPr>
      <w:r>
        <w:rPr>
          <w:rFonts w:ascii="Verdana" w:hAnsi="Verdana"/>
        </w:rPr>
        <w:t xml:space="preserve">Some insurance companies or governing bodies </w:t>
      </w:r>
      <w:r w:rsidR="00D53EE0">
        <w:rPr>
          <w:rFonts w:ascii="Verdana" w:hAnsi="Verdana"/>
        </w:rPr>
        <w:t xml:space="preserve">such as the Civil Aviation Authority require event organisers to engage with the local Safety Advisory Group in each district that an event is held in. </w:t>
      </w:r>
    </w:p>
    <w:p w:rsidR="00D53EE0" w:rsidRDefault="00D53EE0" w:rsidP="00D53EE0">
      <w:pPr>
        <w:spacing w:after="0" w:line="240" w:lineRule="auto"/>
        <w:jc w:val="both"/>
        <w:rPr>
          <w:rFonts w:ascii="Verdana" w:hAnsi="Verdana"/>
        </w:rPr>
      </w:pPr>
    </w:p>
    <w:p w:rsidR="006860C8" w:rsidRDefault="006860C8" w:rsidP="00D53EE0">
      <w:pPr>
        <w:spacing w:after="0" w:line="240" w:lineRule="auto"/>
        <w:jc w:val="both"/>
        <w:rPr>
          <w:rFonts w:ascii="Verdana" w:hAnsi="Verdana"/>
        </w:rPr>
      </w:pPr>
    </w:p>
    <w:p w:rsidR="00D53EE0" w:rsidRDefault="00D53EE0" w:rsidP="00D53EE0">
      <w:pPr>
        <w:spacing w:after="0" w:line="240" w:lineRule="auto"/>
        <w:jc w:val="both"/>
        <w:rPr>
          <w:rFonts w:ascii="Verdana" w:hAnsi="Verdana"/>
        </w:rPr>
      </w:pPr>
    </w:p>
    <w:p w:rsidR="00D53EE0" w:rsidRPr="00D53EE0" w:rsidRDefault="00D53EE0" w:rsidP="00D53EE0">
      <w:pPr>
        <w:pStyle w:val="ListParagraph"/>
        <w:numPr>
          <w:ilvl w:val="0"/>
          <w:numId w:val="18"/>
        </w:numPr>
        <w:spacing w:after="0" w:line="240" w:lineRule="auto"/>
        <w:jc w:val="both"/>
        <w:rPr>
          <w:rFonts w:ascii="Verdana" w:hAnsi="Verdana"/>
        </w:rPr>
      </w:pPr>
      <w:r w:rsidRPr="00D53EE0">
        <w:rPr>
          <w:rFonts w:ascii="Verdana" w:hAnsi="Verdana"/>
        </w:rPr>
        <w:t>What do I do when a member of SAG makes a recommendation for change</w:t>
      </w:r>
      <w:r w:rsidR="001C23C4">
        <w:rPr>
          <w:rFonts w:ascii="Verdana" w:hAnsi="Verdana"/>
        </w:rPr>
        <w:t>s</w:t>
      </w:r>
      <w:r w:rsidRPr="00D53EE0">
        <w:rPr>
          <w:rFonts w:ascii="Verdana" w:hAnsi="Verdana"/>
        </w:rPr>
        <w:t xml:space="preserve"> to my plans?</w:t>
      </w:r>
    </w:p>
    <w:p w:rsidR="00D53EE0" w:rsidRDefault="00D53EE0" w:rsidP="00D53EE0">
      <w:pPr>
        <w:spacing w:after="0" w:line="240" w:lineRule="auto"/>
        <w:jc w:val="both"/>
        <w:rPr>
          <w:rFonts w:ascii="Verdana" w:hAnsi="Verdana"/>
        </w:rPr>
      </w:pPr>
    </w:p>
    <w:p w:rsidR="00D53EE0" w:rsidRDefault="00D53EE0" w:rsidP="00D53EE0">
      <w:pPr>
        <w:pStyle w:val="ListParagraph"/>
        <w:numPr>
          <w:ilvl w:val="0"/>
          <w:numId w:val="20"/>
        </w:numPr>
        <w:spacing w:after="0" w:line="240" w:lineRule="auto"/>
        <w:jc w:val="both"/>
        <w:rPr>
          <w:rFonts w:ascii="Verdana" w:hAnsi="Verdana"/>
        </w:rPr>
      </w:pPr>
      <w:r w:rsidRPr="00D53EE0">
        <w:rPr>
          <w:rFonts w:ascii="Verdana" w:hAnsi="Verdana"/>
        </w:rPr>
        <w:t xml:space="preserve">All feedback is advisory and </w:t>
      </w:r>
      <w:r w:rsidR="001C5926">
        <w:rPr>
          <w:rFonts w:ascii="Verdana" w:hAnsi="Verdana"/>
        </w:rPr>
        <w:t xml:space="preserve">it’s </w:t>
      </w:r>
      <w:r w:rsidRPr="00D53EE0">
        <w:rPr>
          <w:rFonts w:ascii="Verdana" w:hAnsi="Verdana"/>
        </w:rPr>
        <w:t xml:space="preserve">the event organisers discretion as to whether they follow it. It is recommended that your plans and practices are updated in accordance with the feedback provided and re-circulated to the SAG for their information. </w:t>
      </w:r>
    </w:p>
    <w:p w:rsidR="00D53EE0" w:rsidRDefault="00D53EE0" w:rsidP="00D53EE0">
      <w:pPr>
        <w:pStyle w:val="ListParagraph"/>
        <w:spacing w:after="0" w:line="240" w:lineRule="auto"/>
        <w:jc w:val="both"/>
        <w:rPr>
          <w:rFonts w:ascii="Verdana" w:hAnsi="Verdana"/>
        </w:rPr>
      </w:pPr>
    </w:p>
    <w:p w:rsidR="00D53EE0" w:rsidRPr="00D53EE0" w:rsidRDefault="00D53EE0" w:rsidP="00D53EE0">
      <w:pPr>
        <w:pStyle w:val="ListParagraph"/>
        <w:spacing w:after="0" w:line="240" w:lineRule="auto"/>
        <w:jc w:val="both"/>
        <w:rPr>
          <w:rFonts w:ascii="Verdana" w:hAnsi="Verdana"/>
        </w:rPr>
      </w:pPr>
      <w:r w:rsidRPr="00D53EE0">
        <w:rPr>
          <w:rFonts w:ascii="Verdana" w:hAnsi="Verdana"/>
        </w:rPr>
        <w:t>If there were to be an incident at your event and the safety plans</w:t>
      </w:r>
      <w:r w:rsidR="001C23C4">
        <w:rPr>
          <w:rFonts w:ascii="Verdana" w:hAnsi="Verdana"/>
        </w:rPr>
        <w:t xml:space="preserve"> &amp; processes</w:t>
      </w:r>
      <w:r w:rsidRPr="00D53EE0">
        <w:rPr>
          <w:rFonts w:ascii="Verdana" w:hAnsi="Verdana"/>
        </w:rPr>
        <w:t xml:space="preserve"> were </w:t>
      </w:r>
      <w:r w:rsidR="001C23C4">
        <w:rPr>
          <w:rFonts w:ascii="Verdana" w:hAnsi="Verdana"/>
        </w:rPr>
        <w:t>scrutinised, it may</w:t>
      </w:r>
      <w:r w:rsidRPr="00D53EE0">
        <w:rPr>
          <w:rFonts w:ascii="Verdana" w:hAnsi="Verdana"/>
        </w:rPr>
        <w:t xml:space="preserve"> not be viewed upon favourably</w:t>
      </w:r>
      <w:r w:rsidR="001C23C4">
        <w:rPr>
          <w:rFonts w:ascii="Verdana" w:hAnsi="Verdana"/>
        </w:rPr>
        <w:t xml:space="preserve"> by a court</w:t>
      </w:r>
      <w:r w:rsidRPr="00D53EE0">
        <w:rPr>
          <w:rFonts w:ascii="Verdana" w:hAnsi="Verdana"/>
        </w:rPr>
        <w:t xml:space="preserve"> if advice from the SAG was ignored. </w:t>
      </w:r>
    </w:p>
    <w:p w:rsidR="00D53EE0" w:rsidRDefault="00D53EE0" w:rsidP="00D53EE0">
      <w:pPr>
        <w:spacing w:after="0" w:line="240" w:lineRule="auto"/>
        <w:jc w:val="both"/>
        <w:rPr>
          <w:rFonts w:ascii="Verdana" w:hAnsi="Verdana"/>
        </w:rPr>
      </w:pPr>
    </w:p>
    <w:p w:rsidR="00D53EE0" w:rsidRDefault="00D53EE0" w:rsidP="00D53EE0">
      <w:pPr>
        <w:spacing w:after="0" w:line="240" w:lineRule="auto"/>
        <w:jc w:val="both"/>
        <w:rPr>
          <w:rFonts w:ascii="Verdana" w:hAnsi="Verdana"/>
        </w:rPr>
      </w:pPr>
    </w:p>
    <w:p w:rsidR="006860C8" w:rsidRDefault="006860C8" w:rsidP="00D53EE0">
      <w:pPr>
        <w:spacing w:after="0" w:line="240" w:lineRule="auto"/>
        <w:jc w:val="both"/>
        <w:rPr>
          <w:rFonts w:ascii="Verdana" w:hAnsi="Verdana"/>
        </w:rPr>
      </w:pPr>
    </w:p>
    <w:p w:rsidR="00D53EE0" w:rsidRPr="00D53EE0" w:rsidRDefault="00D53EE0" w:rsidP="00D53EE0">
      <w:pPr>
        <w:pStyle w:val="ListParagraph"/>
        <w:numPr>
          <w:ilvl w:val="0"/>
          <w:numId w:val="24"/>
        </w:numPr>
        <w:spacing w:after="0" w:line="240" w:lineRule="auto"/>
        <w:jc w:val="both"/>
        <w:rPr>
          <w:rFonts w:ascii="Verdana" w:hAnsi="Verdana"/>
        </w:rPr>
      </w:pPr>
      <w:r w:rsidRPr="00D53EE0">
        <w:rPr>
          <w:rFonts w:ascii="Verdana" w:hAnsi="Verdana"/>
        </w:rPr>
        <w:t>How do I find out whether my event needs to be notified to SAG?</w:t>
      </w:r>
    </w:p>
    <w:p w:rsidR="00D53EE0" w:rsidRDefault="00D53EE0" w:rsidP="00D53EE0">
      <w:pPr>
        <w:spacing w:after="0" w:line="240" w:lineRule="auto"/>
        <w:jc w:val="both"/>
        <w:rPr>
          <w:rFonts w:ascii="Verdana" w:hAnsi="Verdana"/>
        </w:rPr>
      </w:pPr>
    </w:p>
    <w:p w:rsidR="00D53EE0" w:rsidRPr="00D53EE0" w:rsidRDefault="00D53EE0" w:rsidP="00D53EE0">
      <w:pPr>
        <w:pStyle w:val="ListParagraph"/>
        <w:numPr>
          <w:ilvl w:val="0"/>
          <w:numId w:val="27"/>
        </w:numPr>
        <w:spacing w:after="0" w:line="240" w:lineRule="auto"/>
        <w:jc w:val="both"/>
        <w:rPr>
          <w:rFonts w:ascii="Verdana" w:hAnsi="Verdana"/>
        </w:rPr>
      </w:pPr>
      <w:r w:rsidRPr="00D53EE0">
        <w:rPr>
          <w:rFonts w:ascii="Verdana" w:hAnsi="Verdana"/>
        </w:rPr>
        <w:t>The Safety Advisory Group will never turn a notification away, but if you are unsure whether you need to notify us, please contact us using the detail</w:t>
      </w:r>
      <w:r w:rsidR="00A456D0">
        <w:rPr>
          <w:rFonts w:ascii="Verdana" w:hAnsi="Verdana"/>
        </w:rPr>
        <w:t>s</w:t>
      </w:r>
      <w:r w:rsidRPr="00D53EE0">
        <w:rPr>
          <w:rFonts w:ascii="Verdana" w:hAnsi="Verdana"/>
        </w:rPr>
        <w:t xml:space="preserve"> at the bottom of the FAQ. </w:t>
      </w:r>
    </w:p>
    <w:p w:rsidR="00D53EE0" w:rsidRDefault="00D53EE0" w:rsidP="00D53EE0">
      <w:pPr>
        <w:spacing w:after="0" w:line="240" w:lineRule="auto"/>
        <w:jc w:val="both"/>
        <w:rPr>
          <w:rFonts w:ascii="Verdana" w:hAnsi="Verdana"/>
        </w:rPr>
      </w:pPr>
      <w:bookmarkStart w:id="0" w:name="_GoBack"/>
      <w:bookmarkEnd w:id="0"/>
    </w:p>
    <w:p w:rsidR="006860C8" w:rsidRDefault="006860C8" w:rsidP="00D53EE0">
      <w:pPr>
        <w:spacing w:after="0" w:line="240" w:lineRule="auto"/>
        <w:jc w:val="both"/>
        <w:rPr>
          <w:rFonts w:ascii="Verdana" w:hAnsi="Verdana"/>
        </w:rPr>
      </w:pPr>
    </w:p>
    <w:p w:rsidR="00D74DD6" w:rsidRPr="00C47CD6" w:rsidRDefault="00D74DD6" w:rsidP="00C47CD6">
      <w:pPr>
        <w:pStyle w:val="ListParagraph"/>
        <w:numPr>
          <w:ilvl w:val="0"/>
          <w:numId w:val="29"/>
        </w:numPr>
        <w:spacing w:after="0" w:line="240" w:lineRule="auto"/>
        <w:jc w:val="both"/>
        <w:rPr>
          <w:rFonts w:ascii="Verdana" w:hAnsi="Verdana"/>
        </w:rPr>
      </w:pPr>
      <w:r w:rsidRPr="00C47CD6">
        <w:rPr>
          <w:rFonts w:ascii="Verdana" w:hAnsi="Verdana"/>
        </w:rPr>
        <w:t>Are all SAGs the same across the country?</w:t>
      </w:r>
    </w:p>
    <w:p w:rsidR="00D74DD6" w:rsidRDefault="00D74DD6" w:rsidP="00D53EE0">
      <w:pPr>
        <w:spacing w:after="0" w:line="240" w:lineRule="auto"/>
        <w:jc w:val="both"/>
        <w:rPr>
          <w:rFonts w:ascii="Verdana" w:hAnsi="Verdana"/>
        </w:rPr>
      </w:pPr>
    </w:p>
    <w:p w:rsidR="00C47CD6" w:rsidRDefault="00D74DD6" w:rsidP="00D53EE0">
      <w:pPr>
        <w:pStyle w:val="ListParagraph"/>
        <w:numPr>
          <w:ilvl w:val="0"/>
          <w:numId w:val="31"/>
        </w:numPr>
        <w:spacing w:after="0" w:line="240" w:lineRule="auto"/>
        <w:jc w:val="both"/>
        <w:rPr>
          <w:rFonts w:ascii="Verdana" w:hAnsi="Verdana"/>
        </w:rPr>
      </w:pPr>
      <w:r w:rsidRPr="00C47CD6">
        <w:rPr>
          <w:rFonts w:ascii="Verdana" w:hAnsi="Verdana"/>
        </w:rPr>
        <w:t xml:space="preserve">No, they’re not all the same but </w:t>
      </w:r>
      <w:r w:rsidR="00C47CD6" w:rsidRPr="00C47CD6">
        <w:rPr>
          <w:rFonts w:ascii="Verdana" w:hAnsi="Verdana"/>
        </w:rPr>
        <w:t xml:space="preserve">the principal of their existence is the same. </w:t>
      </w:r>
    </w:p>
    <w:p w:rsidR="00C47CD6" w:rsidRDefault="00C47CD6" w:rsidP="00C47CD6">
      <w:pPr>
        <w:pStyle w:val="ListParagraph"/>
        <w:spacing w:after="0" w:line="240" w:lineRule="auto"/>
        <w:jc w:val="both"/>
        <w:rPr>
          <w:rFonts w:ascii="Verdana" w:hAnsi="Verdana"/>
        </w:rPr>
      </w:pPr>
      <w:r w:rsidRPr="00C47CD6">
        <w:rPr>
          <w:rFonts w:ascii="Verdana" w:hAnsi="Verdana"/>
        </w:rPr>
        <w:t xml:space="preserve">Other SAGs may have additional members from other appropriate agencies such as river authorities etc. </w:t>
      </w:r>
      <w:r>
        <w:rPr>
          <w:rFonts w:ascii="Verdana" w:hAnsi="Verdana"/>
        </w:rPr>
        <w:t xml:space="preserve">and each SAG will have their own notification process &amp; timescales. </w:t>
      </w:r>
    </w:p>
    <w:p w:rsidR="00C47CD6" w:rsidRDefault="00C47CD6" w:rsidP="00C47CD6">
      <w:pPr>
        <w:pStyle w:val="ListParagraph"/>
        <w:spacing w:after="0" w:line="240" w:lineRule="auto"/>
        <w:jc w:val="both"/>
        <w:rPr>
          <w:rFonts w:ascii="Verdana" w:hAnsi="Verdana"/>
        </w:rPr>
      </w:pPr>
      <w:r>
        <w:rPr>
          <w:rFonts w:ascii="Verdana" w:hAnsi="Verdana"/>
        </w:rPr>
        <w:t xml:space="preserve">Get in touch with them nice and early to ensure you give yourself plenty of time to engage with their process. </w:t>
      </w:r>
    </w:p>
    <w:p w:rsidR="00C47CD6" w:rsidRDefault="00C47CD6" w:rsidP="00C47CD6">
      <w:pPr>
        <w:spacing w:after="0" w:line="240" w:lineRule="auto"/>
        <w:jc w:val="both"/>
        <w:rPr>
          <w:rFonts w:ascii="Verdana" w:hAnsi="Verdana"/>
        </w:rPr>
      </w:pPr>
    </w:p>
    <w:p w:rsidR="00C47CD6" w:rsidRDefault="00C47CD6" w:rsidP="00C47CD6">
      <w:pPr>
        <w:spacing w:after="0" w:line="240" w:lineRule="auto"/>
        <w:jc w:val="both"/>
        <w:rPr>
          <w:rFonts w:ascii="Verdana" w:hAnsi="Verdana"/>
        </w:rPr>
      </w:pPr>
    </w:p>
    <w:p w:rsidR="00C47CD6" w:rsidRPr="001E18CD" w:rsidRDefault="00C47CD6" w:rsidP="001E18CD">
      <w:pPr>
        <w:pStyle w:val="ListParagraph"/>
        <w:numPr>
          <w:ilvl w:val="0"/>
          <w:numId w:val="33"/>
        </w:numPr>
        <w:spacing w:after="0" w:line="240" w:lineRule="auto"/>
        <w:jc w:val="both"/>
        <w:rPr>
          <w:rFonts w:ascii="Verdana" w:hAnsi="Verdana"/>
        </w:rPr>
      </w:pPr>
      <w:r w:rsidRPr="001E18CD">
        <w:rPr>
          <w:rFonts w:ascii="Verdana" w:hAnsi="Verdana"/>
        </w:rPr>
        <w:t>Where can I get event planning guidance?</w:t>
      </w:r>
    </w:p>
    <w:p w:rsidR="001E18CD" w:rsidRDefault="001E18CD" w:rsidP="001E18CD">
      <w:pPr>
        <w:spacing w:after="0" w:line="240" w:lineRule="auto"/>
        <w:jc w:val="both"/>
        <w:rPr>
          <w:rFonts w:ascii="Verdana" w:hAnsi="Verdana"/>
        </w:rPr>
      </w:pPr>
    </w:p>
    <w:p w:rsidR="0010278D" w:rsidRDefault="00C47CD6" w:rsidP="001E18CD">
      <w:pPr>
        <w:pStyle w:val="ListParagraph"/>
        <w:numPr>
          <w:ilvl w:val="0"/>
          <w:numId w:val="35"/>
        </w:numPr>
        <w:spacing w:after="0" w:line="240" w:lineRule="auto"/>
        <w:rPr>
          <w:rFonts w:ascii="Verdana" w:hAnsi="Verdana"/>
        </w:rPr>
      </w:pPr>
      <w:r w:rsidRPr="001E18CD">
        <w:rPr>
          <w:rFonts w:ascii="Verdana" w:hAnsi="Verdana"/>
        </w:rPr>
        <w:t xml:space="preserve">You can get a multitude </w:t>
      </w:r>
      <w:r w:rsidR="001E18CD" w:rsidRPr="001E18CD">
        <w:rPr>
          <w:rFonts w:ascii="Verdana" w:hAnsi="Verdana"/>
        </w:rPr>
        <w:t>of information from The Purple Guide and the HSE.</w:t>
      </w:r>
      <w:r w:rsidR="001E18CD">
        <w:rPr>
          <w:rFonts w:ascii="Verdana" w:hAnsi="Verdana"/>
        </w:rPr>
        <w:t xml:space="preserve"> </w:t>
      </w:r>
    </w:p>
    <w:p w:rsidR="0010278D" w:rsidRDefault="0010278D" w:rsidP="0010278D">
      <w:pPr>
        <w:pStyle w:val="ListParagraph"/>
        <w:spacing w:after="0" w:line="240" w:lineRule="auto"/>
        <w:rPr>
          <w:rFonts w:ascii="Verdana" w:hAnsi="Verdana"/>
        </w:rPr>
      </w:pPr>
    </w:p>
    <w:p w:rsidR="001E18CD" w:rsidRDefault="001E18CD" w:rsidP="0010278D">
      <w:pPr>
        <w:pStyle w:val="ListParagraph"/>
        <w:spacing w:after="0" w:line="240" w:lineRule="auto"/>
        <w:rPr>
          <w:rFonts w:ascii="Verdana" w:hAnsi="Verdana"/>
        </w:rPr>
      </w:pPr>
      <w:r>
        <w:rPr>
          <w:rFonts w:ascii="Verdana" w:hAnsi="Verdana"/>
        </w:rPr>
        <w:t xml:space="preserve">Maidstone Safety Advisor Group have some guidance available through our </w:t>
      </w:r>
      <w:proofErr w:type="spellStart"/>
      <w:r>
        <w:rPr>
          <w:rFonts w:ascii="Verdana" w:hAnsi="Verdana"/>
        </w:rPr>
        <w:t>EventApp</w:t>
      </w:r>
      <w:proofErr w:type="spellEnd"/>
      <w:r>
        <w:rPr>
          <w:rFonts w:ascii="Verdana" w:hAnsi="Verdana"/>
        </w:rPr>
        <w:t xml:space="preserve"> portal. Visit </w:t>
      </w:r>
      <w:hyperlink r:id="rId8" w:history="1">
        <w:r w:rsidRPr="00337D56">
          <w:rPr>
            <w:rStyle w:val="Hyperlink"/>
            <w:rFonts w:ascii="Verdana" w:hAnsi="Verdana"/>
          </w:rPr>
          <w:t>https://www.maidstone.gov.uk/home/other-</w:t>
        </w:r>
        <w:r w:rsidRPr="00337D56">
          <w:rPr>
            <w:rStyle w:val="Hyperlink"/>
            <w:rFonts w:ascii="Verdana" w:hAnsi="Verdana"/>
          </w:rPr>
          <w:lastRenderedPageBreak/>
          <w:t>services/events/tier-2-primary-areas/event-planning</w:t>
        </w:r>
      </w:hyperlink>
      <w:r>
        <w:rPr>
          <w:rFonts w:ascii="Verdana" w:hAnsi="Verdana"/>
        </w:rPr>
        <w:t xml:space="preserve"> </w:t>
      </w:r>
      <w:r w:rsidRPr="001E18CD">
        <w:rPr>
          <w:rFonts w:ascii="Verdana" w:hAnsi="Verdana"/>
        </w:rPr>
        <w:t xml:space="preserve"> </w:t>
      </w:r>
      <w:r>
        <w:rPr>
          <w:rFonts w:ascii="Verdana" w:hAnsi="Verdana"/>
        </w:rPr>
        <w:t>for more information.</w:t>
      </w:r>
    </w:p>
    <w:p w:rsidR="001E18CD" w:rsidRDefault="001E18CD" w:rsidP="001E18CD">
      <w:pPr>
        <w:pStyle w:val="ListParagraph"/>
        <w:spacing w:after="0" w:line="240" w:lineRule="auto"/>
        <w:jc w:val="both"/>
        <w:rPr>
          <w:rFonts w:ascii="Verdana" w:hAnsi="Verdana"/>
        </w:rPr>
      </w:pPr>
    </w:p>
    <w:p w:rsidR="001E18CD" w:rsidRDefault="001E18CD" w:rsidP="001E18CD">
      <w:pPr>
        <w:pStyle w:val="ListParagraph"/>
        <w:spacing w:after="0" w:line="240" w:lineRule="auto"/>
        <w:rPr>
          <w:rFonts w:ascii="Verdana" w:hAnsi="Verdana"/>
        </w:rPr>
      </w:pPr>
      <w:r w:rsidRPr="001E18CD">
        <w:rPr>
          <w:rFonts w:ascii="Verdana" w:hAnsi="Verdana"/>
        </w:rPr>
        <w:t xml:space="preserve">To access </w:t>
      </w:r>
      <w:r w:rsidR="00C47CD6" w:rsidRPr="001E18CD">
        <w:rPr>
          <w:rFonts w:ascii="Verdana" w:hAnsi="Verdana"/>
        </w:rPr>
        <w:t>informa</w:t>
      </w:r>
      <w:r w:rsidRPr="001E18CD">
        <w:rPr>
          <w:rFonts w:ascii="Verdana" w:hAnsi="Verdana"/>
        </w:rPr>
        <w:t xml:space="preserve">tion from certain sources, </w:t>
      </w:r>
      <w:r w:rsidR="00C47CD6" w:rsidRPr="001E18CD">
        <w:rPr>
          <w:rFonts w:ascii="Verdana" w:hAnsi="Verdana"/>
        </w:rPr>
        <w:t xml:space="preserve">you will need to purchase a subscription. The Purple Guide is £25.00 + </w:t>
      </w:r>
      <w:r w:rsidRPr="001E18CD">
        <w:rPr>
          <w:rFonts w:ascii="Verdana" w:hAnsi="Verdana"/>
        </w:rPr>
        <w:t>V</w:t>
      </w:r>
      <w:r>
        <w:rPr>
          <w:rFonts w:ascii="Verdana" w:hAnsi="Verdana"/>
        </w:rPr>
        <w:t xml:space="preserve">AT for a 12 month subscription. </w:t>
      </w:r>
      <w:r w:rsidRPr="001E18CD">
        <w:rPr>
          <w:rFonts w:ascii="Verdana" w:hAnsi="Verdana"/>
        </w:rPr>
        <w:t xml:space="preserve">Visit </w:t>
      </w:r>
      <w:hyperlink r:id="rId9" w:history="1">
        <w:r w:rsidRPr="001E18CD">
          <w:rPr>
            <w:rStyle w:val="Hyperlink"/>
            <w:rFonts w:ascii="Verdana" w:hAnsi="Verdana"/>
          </w:rPr>
          <w:t>https://www.thepurpleguide.co.uk/</w:t>
        </w:r>
      </w:hyperlink>
      <w:r w:rsidRPr="001E18CD">
        <w:rPr>
          <w:rFonts w:ascii="Verdana" w:hAnsi="Verdana"/>
        </w:rPr>
        <w:t xml:space="preserve"> for more information. </w:t>
      </w:r>
    </w:p>
    <w:p w:rsidR="001E18CD" w:rsidRDefault="001E18CD" w:rsidP="001E18CD">
      <w:pPr>
        <w:pStyle w:val="ListParagraph"/>
        <w:spacing w:after="0" w:line="240" w:lineRule="auto"/>
        <w:rPr>
          <w:rFonts w:ascii="Verdana" w:hAnsi="Verdana"/>
        </w:rPr>
      </w:pPr>
    </w:p>
    <w:p w:rsidR="001E18CD" w:rsidRDefault="001E18CD" w:rsidP="001E18CD">
      <w:pPr>
        <w:pStyle w:val="ListParagraph"/>
        <w:spacing w:after="0" w:line="240" w:lineRule="auto"/>
        <w:rPr>
          <w:rFonts w:ascii="Verdana" w:hAnsi="Verdana"/>
          <w:lang w:val="en-US"/>
        </w:rPr>
      </w:pPr>
      <w:r>
        <w:rPr>
          <w:rFonts w:ascii="Verdana" w:hAnsi="Verdana"/>
        </w:rPr>
        <w:t xml:space="preserve">Advice specifically in respect of Sports Safety Grounds can be found in a document commonly referred to as the Green Guide but </w:t>
      </w:r>
      <w:r w:rsidR="00D50856">
        <w:rPr>
          <w:rFonts w:ascii="Verdana" w:hAnsi="Verdana"/>
        </w:rPr>
        <w:t xml:space="preserve">is </w:t>
      </w:r>
      <w:r>
        <w:rPr>
          <w:rFonts w:ascii="Verdana" w:hAnsi="Verdana"/>
        </w:rPr>
        <w:t xml:space="preserve">officially called the </w:t>
      </w:r>
      <w:r w:rsidRPr="001E18CD">
        <w:rPr>
          <w:rFonts w:ascii="Verdana" w:hAnsi="Verdana"/>
          <w:lang w:val="en-US"/>
        </w:rPr>
        <w:t>Guide to Safety at Sports Grounds</w:t>
      </w:r>
      <w:r>
        <w:rPr>
          <w:rFonts w:ascii="Verdana" w:hAnsi="Verdana"/>
          <w:lang w:val="en-US"/>
        </w:rPr>
        <w:t xml:space="preserve">. A hard copy or a digital copy can be purchased for £95 each or both for £150.00. </w:t>
      </w:r>
      <w:r w:rsidR="00D50856">
        <w:rPr>
          <w:rFonts w:ascii="Verdana" w:hAnsi="Verdana"/>
          <w:lang w:val="en-US"/>
        </w:rPr>
        <w:t xml:space="preserve"> Visit </w:t>
      </w:r>
      <w:hyperlink r:id="rId10" w:history="1">
        <w:r w:rsidR="00D50856" w:rsidRPr="00337D56">
          <w:rPr>
            <w:rStyle w:val="Hyperlink"/>
            <w:rFonts w:ascii="Verdana" w:hAnsi="Verdana"/>
            <w:lang w:val="en-US"/>
          </w:rPr>
          <w:t>https://sgsa.org.uk/greenguide/</w:t>
        </w:r>
      </w:hyperlink>
      <w:r w:rsidR="00D50856">
        <w:rPr>
          <w:rFonts w:ascii="Verdana" w:hAnsi="Verdana"/>
          <w:lang w:val="en-US"/>
        </w:rPr>
        <w:t xml:space="preserve"> for more information. </w:t>
      </w:r>
    </w:p>
    <w:p w:rsidR="001E18CD" w:rsidRDefault="001E18CD" w:rsidP="001E18CD">
      <w:pPr>
        <w:pStyle w:val="ListParagraph"/>
        <w:spacing w:after="0" w:line="240" w:lineRule="auto"/>
        <w:rPr>
          <w:rFonts w:ascii="Verdana" w:hAnsi="Verdana"/>
          <w:lang w:val="en-US"/>
        </w:rPr>
      </w:pPr>
    </w:p>
    <w:p w:rsidR="001E18CD" w:rsidRDefault="001E18CD" w:rsidP="001E18CD">
      <w:pPr>
        <w:pStyle w:val="ListParagraph"/>
        <w:spacing w:after="0" w:line="240" w:lineRule="auto"/>
        <w:rPr>
          <w:rFonts w:ascii="Verdana" w:hAnsi="Verdana"/>
          <w:sz w:val="18"/>
          <w:lang w:val="en-US"/>
        </w:rPr>
      </w:pPr>
      <w:r w:rsidRPr="001E18CD">
        <w:rPr>
          <w:rFonts w:ascii="Verdana" w:hAnsi="Verdana"/>
          <w:sz w:val="18"/>
          <w:lang w:val="en-US"/>
        </w:rPr>
        <w:t xml:space="preserve">*Prices correct as of </w:t>
      </w:r>
      <w:r w:rsidR="001C23C4" w:rsidRPr="001E18CD">
        <w:rPr>
          <w:rFonts w:ascii="Verdana" w:hAnsi="Verdana"/>
          <w:sz w:val="18"/>
          <w:lang w:val="en-US"/>
        </w:rPr>
        <w:t>15</w:t>
      </w:r>
      <w:r w:rsidR="001C23C4" w:rsidRPr="001E18CD">
        <w:rPr>
          <w:rFonts w:ascii="Verdana" w:hAnsi="Verdana"/>
          <w:sz w:val="18"/>
          <w:vertAlign w:val="superscript"/>
          <w:lang w:val="en-US"/>
        </w:rPr>
        <w:t>th</w:t>
      </w:r>
      <w:r w:rsidR="001C23C4" w:rsidRPr="001E18CD">
        <w:rPr>
          <w:rFonts w:ascii="Verdana" w:hAnsi="Verdana"/>
          <w:sz w:val="18"/>
          <w:lang w:val="en-US"/>
        </w:rPr>
        <w:t xml:space="preserve"> January</w:t>
      </w:r>
      <w:r w:rsidRPr="001E18CD">
        <w:rPr>
          <w:rFonts w:ascii="Verdana" w:hAnsi="Verdana"/>
          <w:sz w:val="18"/>
          <w:lang w:val="en-US"/>
        </w:rPr>
        <w:t xml:space="preserve"> 2020</w:t>
      </w:r>
      <w:r w:rsidR="001C23C4">
        <w:rPr>
          <w:rFonts w:ascii="Verdana" w:hAnsi="Verdana"/>
          <w:sz w:val="18"/>
          <w:lang w:val="en-US"/>
        </w:rPr>
        <w:t>.</w:t>
      </w:r>
    </w:p>
    <w:p w:rsidR="006E4EB1" w:rsidRDefault="006E4EB1" w:rsidP="006E4EB1">
      <w:pPr>
        <w:spacing w:after="0" w:line="240" w:lineRule="auto"/>
        <w:rPr>
          <w:rFonts w:ascii="Verdana" w:hAnsi="Verdana"/>
          <w:sz w:val="18"/>
          <w:lang w:val="en-US"/>
        </w:rPr>
      </w:pPr>
    </w:p>
    <w:p w:rsidR="006E4EB1" w:rsidRDefault="006E4EB1" w:rsidP="006E4EB1">
      <w:pPr>
        <w:spacing w:after="0" w:line="240" w:lineRule="auto"/>
        <w:rPr>
          <w:rFonts w:ascii="Verdana" w:hAnsi="Verdana"/>
          <w:lang w:val="en-US"/>
        </w:rPr>
      </w:pPr>
    </w:p>
    <w:p w:rsidR="006860C8" w:rsidRPr="006E4EB1" w:rsidRDefault="006860C8" w:rsidP="006E4EB1">
      <w:pPr>
        <w:spacing w:after="0" w:line="240" w:lineRule="auto"/>
        <w:rPr>
          <w:rFonts w:ascii="Verdana" w:hAnsi="Verdana"/>
          <w:lang w:val="en-US"/>
        </w:rPr>
      </w:pPr>
    </w:p>
    <w:p w:rsidR="006E4EB1" w:rsidRPr="006E4EB1" w:rsidRDefault="006E4EB1" w:rsidP="006E4EB1">
      <w:pPr>
        <w:pStyle w:val="ListParagraph"/>
        <w:numPr>
          <w:ilvl w:val="0"/>
          <w:numId w:val="38"/>
        </w:numPr>
        <w:spacing w:after="0" w:line="240" w:lineRule="auto"/>
        <w:rPr>
          <w:rFonts w:ascii="Verdana" w:hAnsi="Verdana"/>
          <w:lang w:val="en-US"/>
        </w:rPr>
      </w:pPr>
      <w:r w:rsidRPr="006E4EB1">
        <w:rPr>
          <w:rFonts w:ascii="Verdana" w:hAnsi="Verdana"/>
          <w:lang w:val="en-US"/>
        </w:rPr>
        <w:t>How much notice do I need to give SAG?</w:t>
      </w:r>
    </w:p>
    <w:p w:rsidR="006E4EB1" w:rsidRPr="006E4EB1" w:rsidRDefault="006E4EB1" w:rsidP="006E4EB1">
      <w:pPr>
        <w:spacing w:after="0" w:line="240" w:lineRule="auto"/>
        <w:rPr>
          <w:rFonts w:ascii="Verdana" w:hAnsi="Verdana"/>
          <w:lang w:val="en-US"/>
        </w:rPr>
      </w:pPr>
    </w:p>
    <w:p w:rsidR="00A6312C" w:rsidRPr="00A6312C" w:rsidRDefault="006E4EB1" w:rsidP="00A6312C">
      <w:pPr>
        <w:pStyle w:val="ListParagraph"/>
        <w:numPr>
          <w:ilvl w:val="0"/>
          <w:numId w:val="40"/>
        </w:numPr>
        <w:spacing w:after="0" w:line="240" w:lineRule="auto"/>
        <w:rPr>
          <w:rFonts w:ascii="Verdana" w:hAnsi="Verdana"/>
          <w:sz w:val="18"/>
          <w:lang w:val="en-US"/>
        </w:rPr>
      </w:pPr>
      <w:r w:rsidRPr="006E4EB1">
        <w:rPr>
          <w:rFonts w:ascii="Verdana" w:hAnsi="Verdana"/>
          <w:lang w:val="en-US"/>
        </w:rPr>
        <w:t>Please refer to these timescales as a guide:</w:t>
      </w:r>
    </w:p>
    <w:p w:rsidR="00A6312C" w:rsidRDefault="00A6312C" w:rsidP="00A6312C">
      <w:pPr>
        <w:pStyle w:val="ListParagraph"/>
        <w:spacing w:after="0" w:line="240" w:lineRule="auto"/>
        <w:rPr>
          <w:rFonts w:ascii="Verdana" w:hAnsi="Verdana"/>
          <w:lang w:val="en-US"/>
        </w:rPr>
      </w:pPr>
    </w:p>
    <w:p w:rsidR="00A6312C" w:rsidRPr="00401D88" w:rsidRDefault="006E4EB1" w:rsidP="00401D88">
      <w:pPr>
        <w:pStyle w:val="ListParagraph"/>
        <w:numPr>
          <w:ilvl w:val="0"/>
          <w:numId w:val="47"/>
        </w:numPr>
        <w:spacing w:after="0" w:line="240" w:lineRule="auto"/>
        <w:rPr>
          <w:rFonts w:ascii="Verdana" w:hAnsi="Verdana" w:cs="Arial"/>
          <w:color w:val="000000"/>
        </w:rPr>
      </w:pPr>
      <w:r w:rsidRPr="00A6312C">
        <w:rPr>
          <w:rFonts w:ascii="Verdana" w:hAnsi="Verdana" w:cs="Arial"/>
          <w:color w:val="000000"/>
        </w:rPr>
        <w:t>Events for up to 5000 attendees require a minimum of 3-6 months notification</w:t>
      </w:r>
      <w:r w:rsidR="00A6312C">
        <w:rPr>
          <w:rFonts w:ascii="Verdana" w:hAnsi="Verdana" w:cs="Arial"/>
          <w:color w:val="000000"/>
        </w:rPr>
        <w:t>.</w:t>
      </w:r>
    </w:p>
    <w:p w:rsidR="00A6312C" w:rsidRPr="00401D88" w:rsidRDefault="006E4EB1" w:rsidP="00401D88">
      <w:pPr>
        <w:pStyle w:val="ListParagraph"/>
        <w:numPr>
          <w:ilvl w:val="0"/>
          <w:numId w:val="47"/>
        </w:numPr>
        <w:spacing w:after="0" w:line="240" w:lineRule="auto"/>
        <w:rPr>
          <w:rFonts w:ascii="Verdana" w:hAnsi="Verdana" w:cs="Arial"/>
          <w:color w:val="000000"/>
        </w:rPr>
      </w:pPr>
      <w:r w:rsidRPr="00610499">
        <w:rPr>
          <w:rFonts w:ascii="Verdana" w:hAnsi="Verdana" w:cs="Arial"/>
          <w:color w:val="000000"/>
        </w:rPr>
        <w:t>Events for 5000-9999 attendees require between</w:t>
      </w:r>
      <w:r>
        <w:rPr>
          <w:rFonts w:ascii="Verdana" w:hAnsi="Verdana" w:cs="Arial"/>
          <w:color w:val="000000"/>
        </w:rPr>
        <w:t xml:space="preserve"> 6-9 months notification.</w:t>
      </w:r>
    </w:p>
    <w:p w:rsidR="00A6312C" w:rsidRPr="00A6312C" w:rsidRDefault="006E4EB1" w:rsidP="00A6312C">
      <w:pPr>
        <w:pStyle w:val="ListParagraph"/>
        <w:numPr>
          <w:ilvl w:val="0"/>
          <w:numId w:val="47"/>
        </w:numPr>
        <w:spacing w:after="0" w:line="240" w:lineRule="auto"/>
        <w:rPr>
          <w:rFonts w:ascii="Verdana" w:hAnsi="Verdana"/>
          <w:sz w:val="18"/>
          <w:lang w:val="en-US"/>
        </w:rPr>
      </w:pPr>
      <w:r w:rsidRPr="00A6312C">
        <w:rPr>
          <w:rFonts w:ascii="Verdana" w:hAnsi="Verdana" w:cs="Arial"/>
          <w:color w:val="000000"/>
        </w:rPr>
        <w:t>Events for more than 10,000 attendees require between 9-12 months notification</w:t>
      </w:r>
      <w:r w:rsidR="00A6312C">
        <w:rPr>
          <w:rFonts w:ascii="Verdana" w:hAnsi="Verdana" w:cs="Arial"/>
          <w:color w:val="000000"/>
        </w:rPr>
        <w:t>.</w:t>
      </w:r>
    </w:p>
    <w:p w:rsidR="00A6312C" w:rsidRDefault="00A6312C" w:rsidP="00A6312C">
      <w:pPr>
        <w:pStyle w:val="ListParagraph"/>
        <w:rPr>
          <w:rFonts w:ascii="Verdana" w:hAnsi="Verdana"/>
          <w:sz w:val="18"/>
          <w:lang w:val="en-US"/>
        </w:rPr>
      </w:pPr>
    </w:p>
    <w:p w:rsidR="00401D88" w:rsidRDefault="00401D88" w:rsidP="00A6312C">
      <w:pPr>
        <w:pStyle w:val="ListParagraph"/>
        <w:rPr>
          <w:rFonts w:ascii="Verdana" w:hAnsi="Verdana"/>
          <w:sz w:val="18"/>
          <w:lang w:val="en-US"/>
        </w:rPr>
      </w:pPr>
    </w:p>
    <w:p w:rsidR="006860C8" w:rsidRPr="00A6312C" w:rsidRDefault="006860C8" w:rsidP="00A6312C">
      <w:pPr>
        <w:pStyle w:val="ListParagraph"/>
        <w:rPr>
          <w:rFonts w:ascii="Verdana" w:hAnsi="Verdana"/>
          <w:sz w:val="18"/>
          <w:lang w:val="en-US"/>
        </w:rPr>
      </w:pPr>
    </w:p>
    <w:p w:rsidR="00A6312C" w:rsidRPr="00A6312C" w:rsidRDefault="00A6312C" w:rsidP="00A6312C">
      <w:pPr>
        <w:pStyle w:val="ListParagraph"/>
        <w:numPr>
          <w:ilvl w:val="1"/>
          <w:numId w:val="44"/>
        </w:numPr>
        <w:spacing w:after="0" w:line="240" w:lineRule="auto"/>
        <w:rPr>
          <w:rFonts w:ascii="Verdana" w:hAnsi="Verdana"/>
          <w:sz w:val="18"/>
          <w:lang w:val="en-US"/>
        </w:rPr>
      </w:pPr>
      <w:r>
        <w:rPr>
          <w:rFonts w:ascii="Verdana" w:hAnsi="Verdana"/>
          <w:lang w:val="en-US"/>
        </w:rPr>
        <w:t xml:space="preserve">Must I notify the </w:t>
      </w:r>
      <w:r w:rsidRPr="00A6312C">
        <w:rPr>
          <w:rFonts w:ascii="Verdana" w:hAnsi="Verdana"/>
          <w:lang w:val="en-US"/>
        </w:rPr>
        <w:t xml:space="preserve">SAG if I only wish to apply for a road closure under the Town Police Clauses </w:t>
      </w:r>
      <w:r w:rsidR="0010278D">
        <w:rPr>
          <w:rFonts w:ascii="Verdana" w:hAnsi="Verdana"/>
          <w:lang w:val="en-US"/>
        </w:rPr>
        <w:t xml:space="preserve">Act </w:t>
      </w:r>
      <w:r w:rsidRPr="00A6312C">
        <w:rPr>
          <w:rFonts w:ascii="Verdana" w:hAnsi="Verdana"/>
          <w:lang w:val="en-US"/>
        </w:rPr>
        <w:t>1847?</w:t>
      </w:r>
    </w:p>
    <w:p w:rsidR="00A6312C" w:rsidRPr="00A6312C" w:rsidRDefault="00A6312C" w:rsidP="00A6312C">
      <w:pPr>
        <w:pStyle w:val="ListParagraph"/>
        <w:spacing w:after="0" w:line="240" w:lineRule="auto"/>
        <w:ind w:left="786"/>
        <w:rPr>
          <w:rFonts w:ascii="Verdana" w:hAnsi="Verdana"/>
          <w:sz w:val="18"/>
          <w:lang w:val="en-US"/>
        </w:rPr>
      </w:pPr>
    </w:p>
    <w:p w:rsidR="00A6312C" w:rsidRDefault="00A6312C" w:rsidP="00A6312C">
      <w:pPr>
        <w:pStyle w:val="ListParagraph"/>
        <w:numPr>
          <w:ilvl w:val="0"/>
          <w:numId w:val="46"/>
        </w:numPr>
        <w:spacing w:after="0" w:line="240" w:lineRule="auto"/>
        <w:rPr>
          <w:rFonts w:ascii="Verdana" w:hAnsi="Verdana"/>
          <w:lang w:val="en-US"/>
        </w:rPr>
      </w:pPr>
      <w:proofErr w:type="spellStart"/>
      <w:r>
        <w:rPr>
          <w:rFonts w:ascii="Verdana" w:hAnsi="Verdana"/>
          <w:lang w:val="en-US"/>
        </w:rPr>
        <w:t>Maidstone</w:t>
      </w:r>
      <w:proofErr w:type="spellEnd"/>
      <w:r>
        <w:rPr>
          <w:rFonts w:ascii="Verdana" w:hAnsi="Verdana"/>
          <w:lang w:val="en-US"/>
        </w:rPr>
        <w:t xml:space="preserve"> Borough Council’s application for a road closure is now automatically taken through the SAG process as a best practice measure. </w:t>
      </w:r>
    </w:p>
    <w:p w:rsidR="009C6037" w:rsidRDefault="009C6037" w:rsidP="00A6312C">
      <w:pPr>
        <w:pStyle w:val="ListParagraph"/>
        <w:spacing w:after="0" w:line="240" w:lineRule="auto"/>
        <w:ind w:left="786"/>
        <w:rPr>
          <w:rFonts w:ascii="Verdana" w:hAnsi="Verdana"/>
          <w:lang w:val="en-US"/>
        </w:rPr>
      </w:pPr>
    </w:p>
    <w:p w:rsidR="00A6312C" w:rsidRDefault="009C6037" w:rsidP="00A6312C">
      <w:pPr>
        <w:pStyle w:val="ListParagraph"/>
        <w:spacing w:after="0" w:line="240" w:lineRule="auto"/>
        <w:ind w:left="786"/>
        <w:rPr>
          <w:rFonts w:ascii="Verdana" w:hAnsi="Verdana"/>
          <w:lang w:val="en-US"/>
        </w:rPr>
      </w:pPr>
      <w:r>
        <w:rPr>
          <w:rFonts w:ascii="Verdana" w:hAnsi="Verdana"/>
          <w:lang w:val="en-US"/>
        </w:rPr>
        <w:t>Requests to close a road are usually received</w:t>
      </w:r>
      <w:r w:rsidR="00A6312C">
        <w:rPr>
          <w:rFonts w:ascii="Verdana" w:hAnsi="Verdana"/>
          <w:lang w:val="en-US"/>
        </w:rPr>
        <w:t xml:space="preserve"> because an event is</w:t>
      </w:r>
      <w:r>
        <w:rPr>
          <w:rFonts w:ascii="Verdana" w:hAnsi="Verdana"/>
          <w:lang w:val="en-US"/>
        </w:rPr>
        <w:t xml:space="preserve"> taking place</w:t>
      </w:r>
      <w:r w:rsidR="00A6312C">
        <w:rPr>
          <w:rFonts w:ascii="Verdana" w:hAnsi="Verdana"/>
          <w:lang w:val="en-US"/>
        </w:rPr>
        <w:t xml:space="preserve"> on a public highway or a number of pedestrians will be on the highway for </w:t>
      </w:r>
      <w:r>
        <w:rPr>
          <w:rFonts w:ascii="Verdana" w:hAnsi="Verdana"/>
          <w:lang w:val="en-US"/>
        </w:rPr>
        <w:t xml:space="preserve">an extended </w:t>
      </w:r>
      <w:r w:rsidR="00A6312C">
        <w:rPr>
          <w:rFonts w:ascii="Verdana" w:hAnsi="Verdana"/>
          <w:lang w:val="en-US"/>
        </w:rPr>
        <w:t>period</w:t>
      </w:r>
      <w:r>
        <w:rPr>
          <w:rFonts w:ascii="Verdana" w:hAnsi="Verdana"/>
          <w:lang w:val="en-US"/>
        </w:rPr>
        <w:t xml:space="preserve"> of time</w:t>
      </w:r>
      <w:r w:rsidR="00A6312C">
        <w:rPr>
          <w:rFonts w:ascii="Verdana" w:hAnsi="Verdana"/>
          <w:lang w:val="en-US"/>
        </w:rPr>
        <w:t xml:space="preserve"> </w:t>
      </w:r>
      <w:r>
        <w:rPr>
          <w:rFonts w:ascii="Verdana" w:hAnsi="Verdana"/>
          <w:lang w:val="en-US"/>
        </w:rPr>
        <w:t xml:space="preserve">and </w:t>
      </w:r>
      <w:r w:rsidR="00A6312C">
        <w:rPr>
          <w:rFonts w:ascii="Verdana" w:hAnsi="Verdana"/>
          <w:lang w:val="en-US"/>
        </w:rPr>
        <w:t>therefore we want to ensure the safety of both road users and pedestrians</w:t>
      </w:r>
      <w:r>
        <w:rPr>
          <w:rFonts w:ascii="Verdana" w:hAnsi="Verdana"/>
          <w:lang w:val="en-US"/>
        </w:rPr>
        <w:t xml:space="preserve"> has been considered fully when reviewing </w:t>
      </w:r>
      <w:r w:rsidR="00A6312C">
        <w:rPr>
          <w:rFonts w:ascii="Verdana" w:hAnsi="Verdana"/>
          <w:lang w:val="en-US"/>
        </w:rPr>
        <w:t xml:space="preserve">the request. </w:t>
      </w:r>
    </w:p>
    <w:p w:rsidR="00A6312C" w:rsidRDefault="00A6312C" w:rsidP="00A6312C">
      <w:pPr>
        <w:pStyle w:val="ListParagraph"/>
        <w:spacing w:after="0" w:line="240" w:lineRule="auto"/>
        <w:ind w:left="786"/>
        <w:rPr>
          <w:rFonts w:ascii="Verdana" w:hAnsi="Verdana"/>
          <w:lang w:val="en-US"/>
        </w:rPr>
      </w:pPr>
    </w:p>
    <w:p w:rsidR="00A6312C" w:rsidRPr="00A6312C" w:rsidRDefault="00A6312C" w:rsidP="00A6312C">
      <w:pPr>
        <w:pStyle w:val="ListParagraph"/>
        <w:spacing w:after="0" w:line="240" w:lineRule="auto"/>
        <w:ind w:left="786"/>
        <w:rPr>
          <w:rFonts w:ascii="Verdana" w:hAnsi="Verdana"/>
          <w:lang w:val="en-US"/>
        </w:rPr>
      </w:pPr>
      <w:r>
        <w:rPr>
          <w:rFonts w:ascii="Verdana" w:hAnsi="Verdana"/>
          <w:lang w:val="en-US"/>
        </w:rPr>
        <w:t>The Safety Advisory Group will review all</w:t>
      </w:r>
      <w:r w:rsidR="009C6037">
        <w:rPr>
          <w:rFonts w:ascii="Verdana" w:hAnsi="Verdana"/>
          <w:lang w:val="en-US"/>
        </w:rPr>
        <w:t xml:space="preserve"> aspects of the event plans but as the event organiser y</w:t>
      </w:r>
      <w:r w:rsidR="00AB64E2">
        <w:rPr>
          <w:rFonts w:ascii="Verdana" w:hAnsi="Verdana"/>
          <w:lang w:val="en-US"/>
        </w:rPr>
        <w:t>ou will not need to notify the blue l</w:t>
      </w:r>
      <w:r w:rsidR="009C6037">
        <w:rPr>
          <w:rFonts w:ascii="Verdana" w:hAnsi="Verdana"/>
          <w:lang w:val="en-US"/>
        </w:rPr>
        <w:t>ight agencies or KCC Highways separately</w:t>
      </w:r>
      <w:r w:rsidR="00C01387">
        <w:rPr>
          <w:rFonts w:ascii="Verdana" w:hAnsi="Verdana"/>
          <w:lang w:val="en-US"/>
        </w:rPr>
        <w:t xml:space="preserve"> about your road closure</w:t>
      </w:r>
      <w:r w:rsidR="009C6037">
        <w:rPr>
          <w:rFonts w:ascii="Verdana" w:hAnsi="Verdana"/>
          <w:lang w:val="en-US"/>
        </w:rPr>
        <w:t xml:space="preserve">. This is all done for you within the notification process. </w:t>
      </w:r>
    </w:p>
    <w:p w:rsidR="001C23C4" w:rsidRPr="002251C8" w:rsidRDefault="001C23C4" w:rsidP="002251C8">
      <w:pPr>
        <w:spacing w:after="0" w:line="240" w:lineRule="auto"/>
        <w:rPr>
          <w:rFonts w:ascii="Verdana" w:hAnsi="Verdana"/>
          <w:sz w:val="18"/>
          <w:lang w:val="en-US"/>
        </w:rPr>
      </w:pPr>
    </w:p>
    <w:p w:rsidR="001C23C4" w:rsidRDefault="001C23C4" w:rsidP="001E18CD">
      <w:pPr>
        <w:pStyle w:val="ListParagraph"/>
        <w:spacing w:after="0" w:line="240" w:lineRule="auto"/>
        <w:rPr>
          <w:rFonts w:ascii="Verdana" w:hAnsi="Verdana"/>
          <w:sz w:val="18"/>
          <w:lang w:val="en-US"/>
        </w:rPr>
      </w:pPr>
    </w:p>
    <w:p w:rsidR="001E18CD" w:rsidRPr="000937FB" w:rsidRDefault="00EB4F6B" w:rsidP="000937FB">
      <w:pPr>
        <w:pStyle w:val="ListParagraph"/>
        <w:spacing w:after="0" w:line="240" w:lineRule="auto"/>
        <w:jc w:val="center"/>
        <w:rPr>
          <w:rFonts w:ascii="Verdana" w:hAnsi="Verdana"/>
          <w:sz w:val="24"/>
        </w:rPr>
      </w:pPr>
      <w:r w:rsidRPr="000937FB">
        <w:rPr>
          <w:rFonts w:ascii="Verdana" w:hAnsi="Verdana"/>
          <w:lang w:val="en-US"/>
        </w:rPr>
        <w:t>For further queries please contact</w:t>
      </w:r>
      <w:r w:rsidR="000937FB">
        <w:rPr>
          <w:rFonts w:ascii="Verdana" w:hAnsi="Verdana"/>
          <w:lang w:val="en-US"/>
        </w:rPr>
        <w:t xml:space="preserve"> </w:t>
      </w:r>
      <w:hyperlink r:id="rId11" w:history="1">
        <w:r w:rsidRPr="000937FB">
          <w:rPr>
            <w:rStyle w:val="Hyperlink"/>
            <w:rFonts w:ascii="Verdana" w:hAnsi="Verdana"/>
            <w:lang w:val="en-US"/>
          </w:rPr>
          <w:t>safetyadvisorygroup@maidstone.gov.uk</w:t>
        </w:r>
      </w:hyperlink>
      <w:r w:rsidRPr="000937FB">
        <w:rPr>
          <w:rFonts w:ascii="Verdana" w:hAnsi="Verdana"/>
          <w:lang w:val="en-US"/>
        </w:rPr>
        <w:t>.</w:t>
      </w:r>
    </w:p>
    <w:sectPr w:rsidR="001E18CD" w:rsidRPr="00093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1B7"/>
    <w:multiLevelType w:val="hybridMultilevel"/>
    <w:tmpl w:val="DEA8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724CA"/>
    <w:multiLevelType w:val="hybridMultilevel"/>
    <w:tmpl w:val="1924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4425D"/>
    <w:multiLevelType w:val="hybridMultilevel"/>
    <w:tmpl w:val="243A2AAA"/>
    <w:lvl w:ilvl="0" w:tplc="1FA0C7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E1089"/>
    <w:multiLevelType w:val="hybridMultilevel"/>
    <w:tmpl w:val="220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60A7F"/>
    <w:multiLevelType w:val="hybridMultilevel"/>
    <w:tmpl w:val="00F07A40"/>
    <w:lvl w:ilvl="0" w:tplc="1AD0226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CA5424"/>
    <w:multiLevelType w:val="hybridMultilevel"/>
    <w:tmpl w:val="AC862956"/>
    <w:lvl w:ilvl="0" w:tplc="3DD4711E">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FE7639"/>
    <w:multiLevelType w:val="hybridMultilevel"/>
    <w:tmpl w:val="CB285496"/>
    <w:lvl w:ilvl="0" w:tplc="4FDC12B4">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2F3ADB"/>
    <w:multiLevelType w:val="hybridMultilevel"/>
    <w:tmpl w:val="99E4318A"/>
    <w:lvl w:ilvl="0" w:tplc="C188F9B2">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F13105"/>
    <w:multiLevelType w:val="hybridMultilevel"/>
    <w:tmpl w:val="EE4A14BE"/>
    <w:lvl w:ilvl="0" w:tplc="2C96F1F4">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A49A6"/>
    <w:multiLevelType w:val="hybridMultilevel"/>
    <w:tmpl w:val="2716F45C"/>
    <w:lvl w:ilvl="0" w:tplc="EECC95A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4C3327"/>
    <w:multiLevelType w:val="hybridMultilevel"/>
    <w:tmpl w:val="A1F2528C"/>
    <w:lvl w:ilvl="0" w:tplc="1A9EA6C4">
      <w:start w:val="17"/>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756336"/>
    <w:multiLevelType w:val="hybridMultilevel"/>
    <w:tmpl w:val="71DEC37A"/>
    <w:lvl w:ilvl="0" w:tplc="BDD65C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786F94"/>
    <w:multiLevelType w:val="hybridMultilevel"/>
    <w:tmpl w:val="08423BDC"/>
    <w:lvl w:ilvl="0" w:tplc="D520A6F4">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287425B4"/>
    <w:multiLevelType w:val="hybridMultilevel"/>
    <w:tmpl w:val="2B60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BB2A67"/>
    <w:multiLevelType w:val="hybridMultilevel"/>
    <w:tmpl w:val="51DE44BE"/>
    <w:lvl w:ilvl="0" w:tplc="BA108E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A64243"/>
    <w:multiLevelType w:val="hybridMultilevel"/>
    <w:tmpl w:val="99AABBC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C84035F"/>
    <w:multiLevelType w:val="hybridMultilevel"/>
    <w:tmpl w:val="629A0C52"/>
    <w:lvl w:ilvl="0" w:tplc="5C8278A8">
      <w:start w:val="1"/>
      <w:numFmt w:val="upperLetter"/>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BF21AE"/>
    <w:multiLevelType w:val="hybridMultilevel"/>
    <w:tmpl w:val="5AF4A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A11E3B"/>
    <w:multiLevelType w:val="hybridMultilevel"/>
    <w:tmpl w:val="DDD4B6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6562DA5"/>
    <w:multiLevelType w:val="hybridMultilevel"/>
    <w:tmpl w:val="D6143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C01273"/>
    <w:multiLevelType w:val="hybridMultilevel"/>
    <w:tmpl w:val="6A56F49A"/>
    <w:lvl w:ilvl="0" w:tplc="1FA0C7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9C4FAE"/>
    <w:multiLevelType w:val="hybridMultilevel"/>
    <w:tmpl w:val="D8F0F978"/>
    <w:lvl w:ilvl="0" w:tplc="1D548CD2">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C219DC"/>
    <w:multiLevelType w:val="hybridMultilevel"/>
    <w:tmpl w:val="93CC7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D71E8B"/>
    <w:multiLevelType w:val="hybridMultilevel"/>
    <w:tmpl w:val="27AE9FC4"/>
    <w:lvl w:ilvl="0" w:tplc="1FA0C75C">
      <w:start w:val="1"/>
      <w:numFmt w:val="upperLetter"/>
      <w:lvlText w:val="%1."/>
      <w:lvlJc w:val="left"/>
      <w:pPr>
        <w:ind w:left="22" w:hanging="360"/>
      </w:pPr>
      <w:rPr>
        <w:rFonts w:hint="default"/>
      </w:rPr>
    </w:lvl>
    <w:lvl w:ilvl="1" w:tplc="08090019" w:tentative="1">
      <w:start w:val="1"/>
      <w:numFmt w:val="lowerLetter"/>
      <w:lvlText w:val="%2."/>
      <w:lvlJc w:val="left"/>
      <w:pPr>
        <w:ind w:left="742" w:hanging="360"/>
      </w:pPr>
    </w:lvl>
    <w:lvl w:ilvl="2" w:tplc="0809001B" w:tentative="1">
      <w:start w:val="1"/>
      <w:numFmt w:val="lowerRoman"/>
      <w:lvlText w:val="%3."/>
      <w:lvlJc w:val="right"/>
      <w:pPr>
        <w:ind w:left="1462" w:hanging="180"/>
      </w:pPr>
    </w:lvl>
    <w:lvl w:ilvl="3" w:tplc="0809000F" w:tentative="1">
      <w:start w:val="1"/>
      <w:numFmt w:val="decimal"/>
      <w:lvlText w:val="%4."/>
      <w:lvlJc w:val="left"/>
      <w:pPr>
        <w:ind w:left="2182" w:hanging="360"/>
      </w:pPr>
    </w:lvl>
    <w:lvl w:ilvl="4" w:tplc="08090019" w:tentative="1">
      <w:start w:val="1"/>
      <w:numFmt w:val="lowerLetter"/>
      <w:lvlText w:val="%5."/>
      <w:lvlJc w:val="left"/>
      <w:pPr>
        <w:ind w:left="2902" w:hanging="360"/>
      </w:pPr>
    </w:lvl>
    <w:lvl w:ilvl="5" w:tplc="0809001B" w:tentative="1">
      <w:start w:val="1"/>
      <w:numFmt w:val="lowerRoman"/>
      <w:lvlText w:val="%6."/>
      <w:lvlJc w:val="right"/>
      <w:pPr>
        <w:ind w:left="3622" w:hanging="180"/>
      </w:pPr>
    </w:lvl>
    <w:lvl w:ilvl="6" w:tplc="0809000F" w:tentative="1">
      <w:start w:val="1"/>
      <w:numFmt w:val="decimal"/>
      <w:lvlText w:val="%7."/>
      <w:lvlJc w:val="left"/>
      <w:pPr>
        <w:ind w:left="4342" w:hanging="360"/>
      </w:pPr>
    </w:lvl>
    <w:lvl w:ilvl="7" w:tplc="08090019" w:tentative="1">
      <w:start w:val="1"/>
      <w:numFmt w:val="lowerLetter"/>
      <w:lvlText w:val="%8."/>
      <w:lvlJc w:val="left"/>
      <w:pPr>
        <w:ind w:left="5062" w:hanging="360"/>
      </w:pPr>
    </w:lvl>
    <w:lvl w:ilvl="8" w:tplc="0809001B" w:tentative="1">
      <w:start w:val="1"/>
      <w:numFmt w:val="lowerRoman"/>
      <w:lvlText w:val="%9."/>
      <w:lvlJc w:val="right"/>
      <w:pPr>
        <w:ind w:left="5782" w:hanging="180"/>
      </w:pPr>
    </w:lvl>
  </w:abstractNum>
  <w:abstractNum w:abstractNumId="24">
    <w:nsid w:val="415778FB"/>
    <w:multiLevelType w:val="hybridMultilevel"/>
    <w:tmpl w:val="E960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DF1B10"/>
    <w:multiLevelType w:val="hybridMultilevel"/>
    <w:tmpl w:val="EF9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F25802"/>
    <w:multiLevelType w:val="hybridMultilevel"/>
    <w:tmpl w:val="9EC43874"/>
    <w:lvl w:ilvl="0" w:tplc="4238E354">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D87E5E"/>
    <w:multiLevelType w:val="multilevel"/>
    <w:tmpl w:val="568494F4"/>
    <w:lvl w:ilvl="0">
      <w:start w:val="1"/>
      <w:numFmt w:val="bullet"/>
      <w:lvlText w:val=""/>
      <w:lvlJc w:val="left"/>
      <w:pPr>
        <w:tabs>
          <w:tab w:val="num" w:pos="1080"/>
        </w:tabs>
        <w:ind w:left="1080" w:hanging="360"/>
      </w:pPr>
      <w:rPr>
        <w:rFonts w:ascii="Wingdings" w:hAnsi="Wingdings" w:hint="default"/>
        <w:sz w:val="20"/>
      </w:rPr>
    </w:lvl>
    <w:lvl w:ilvl="1">
      <w:start w:val="17"/>
      <w:numFmt w:val="upperLetter"/>
      <w:lvlText w:val="%2."/>
      <w:lvlJc w:val="left"/>
      <w:pPr>
        <w:ind w:left="786" w:hanging="360"/>
      </w:pPr>
      <w:rPr>
        <w:rFonts w:hint="default"/>
        <w:b/>
        <w:sz w:val="22"/>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nsid w:val="4F077AC7"/>
    <w:multiLevelType w:val="hybridMultilevel"/>
    <w:tmpl w:val="964EA6A0"/>
    <w:lvl w:ilvl="0" w:tplc="B21A3D7E">
      <w:start w:val="1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A85DF8"/>
    <w:multiLevelType w:val="hybridMultilevel"/>
    <w:tmpl w:val="D13C9D86"/>
    <w:lvl w:ilvl="0" w:tplc="9B908F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5F06A3"/>
    <w:multiLevelType w:val="hybridMultilevel"/>
    <w:tmpl w:val="F89AF384"/>
    <w:lvl w:ilvl="0" w:tplc="BC688C80">
      <w:start w:val="1"/>
      <w:numFmt w:val="upperLetter"/>
      <w:lvlText w:val="%1."/>
      <w:lvlJc w:val="left"/>
      <w:pPr>
        <w:ind w:left="720" w:hanging="360"/>
      </w:pPr>
      <w:rPr>
        <w:rFonts w:cs="Arial" w:hint="default"/>
        <w:b/>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1C3567"/>
    <w:multiLevelType w:val="hybridMultilevel"/>
    <w:tmpl w:val="B80E6332"/>
    <w:lvl w:ilvl="0" w:tplc="E47628A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AB2A82"/>
    <w:multiLevelType w:val="hybridMultilevel"/>
    <w:tmpl w:val="09CAF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E704047"/>
    <w:multiLevelType w:val="hybridMultilevel"/>
    <w:tmpl w:val="BAE6BD5C"/>
    <w:lvl w:ilvl="0" w:tplc="2B54C4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8B2173"/>
    <w:multiLevelType w:val="hybridMultilevel"/>
    <w:tmpl w:val="9B885BBE"/>
    <w:lvl w:ilvl="0" w:tplc="E88275E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DA302D"/>
    <w:multiLevelType w:val="hybridMultilevel"/>
    <w:tmpl w:val="BAF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82343A"/>
    <w:multiLevelType w:val="hybridMultilevel"/>
    <w:tmpl w:val="A0BC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513DF"/>
    <w:multiLevelType w:val="hybridMultilevel"/>
    <w:tmpl w:val="F6DA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BC3EDC"/>
    <w:multiLevelType w:val="hybridMultilevel"/>
    <w:tmpl w:val="75E2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707980"/>
    <w:multiLevelType w:val="hybridMultilevel"/>
    <w:tmpl w:val="EF50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35030"/>
    <w:multiLevelType w:val="hybridMultilevel"/>
    <w:tmpl w:val="3384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BF291F"/>
    <w:multiLevelType w:val="hybridMultilevel"/>
    <w:tmpl w:val="9850A516"/>
    <w:lvl w:ilvl="0" w:tplc="B88A0100">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E56947"/>
    <w:multiLevelType w:val="hybridMultilevel"/>
    <w:tmpl w:val="751887FA"/>
    <w:lvl w:ilvl="0" w:tplc="FEA24E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420B1D"/>
    <w:multiLevelType w:val="hybridMultilevel"/>
    <w:tmpl w:val="1F8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8415DB"/>
    <w:multiLevelType w:val="hybridMultilevel"/>
    <w:tmpl w:val="72FEE84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5">
    <w:nsid w:val="7C853F3E"/>
    <w:multiLevelType w:val="multilevel"/>
    <w:tmpl w:val="A9D4B4E4"/>
    <w:lvl w:ilvl="0">
      <w:start w:val="1"/>
      <w:numFmt w:val="bullet"/>
      <w:lvlText w:val=""/>
      <w:lvlJc w:val="left"/>
      <w:pPr>
        <w:tabs>
          <w:tab w:val="num" w:pos="1080"/>
        </w:tabs>
        <w:ind w:left="1080" w:hanging="360"/>
      </w:pPr>
      <w:rPr>
        <w:rFonts w:ascii="Symbol" w:hAnsi="Symbol" w:hint="default"/>
        <w:sz w:val="20"/>
      </w:rPr>
    </w:lvl>
    <w:lvl w:ilvl="1">
      <w:start w:val="17"/>
      <w:numFmt w:val="upperLetter"/>
      <w:lvlText w:val="%2."/>
      <w:lvlJc w:val="left"/>
      <w:pPr>
        <w:ind w:left="786" w:hanging="360"/>
      </w:pPr>
      <w:rPr>
        <w:rFonts w:hint="default"/>
        <w:b/>
        <w:sz w:val="22"/>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nsid w:val="7D9928D3"/>
    <w:multiLevelType w:val="hybridMultilevel"/>
    <w:tmpl w:val="C52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5318E7"/>
    <w:multiLevelType w:val="hybridMultilevel"/>
    <w:tmpl w:val="F922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DF7F14"/>
    <w:multiLevelType w:val="hybridMultilevel"/>
    <w:tmpl w:val="342A8B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48"/>
  </w:num>
  <w:num w:numId="4">
    <w:abstractNumId w:val="33"/>
  </w:num>
  <w:num w:numId="5">
    <w:abstractNumId w:val="24"/>
  </w:num>
  <w:num w:numId="6">
    <w:abstractNumId w:val="19"/>
  </w:num>
  <w:num w:numId="7">
    <w:abstractNumId w:val="15"/>
  </w:num>
  <w:num w:numId="8">
    <w:abstractNumId w:val="32"/>
  </w:num>
  <w:num w:numId="9">
    <w:abstractNumId w:val="4"/>
  </w:num>
  <w:num w:numId="10">
    <w:abstractNumId w:val="22"/>
  </w:num>
  <w:num w:numId="11">
    <w:abstractNumId w:val="11"/>
  </w:num>
  <w:num w:numId="12">
    <w:abstractNumId w:val="46"/>
  </w:num>
  <w:num w:numId="13">
    <w:abstractNumId w:val="20"/>
  </w:num>
  <w:num w:numId="14">
    <w:abstractNumId w:val="23"/>
  </w:num>
  <w:num w:numId="15">
    <w:abstractNumId w:val="31"/>
  </w:num>
  <w:num w:numId="16">
    <w:abstractNumId w:val="7"/>
  </w:num>
  <w:num w:numId="17">
    <w:abstractNumId w:val="38"/>
  </w:num>
  <w:num w:numId="18">
    <w:abstractNumId w:val="8"/>
  </w:num>
  <w:num w:numId="19">
    <w:abstractNumId w:val="0"/>
  </w:num>
  <w:num w:numId="20">
    <w:abstractNumId w:val="34"/>
  </w:num>
  <w:num w:numId="21">
    <w:abstractNumId w:val="36"/>
  </w:num>
  <w:num w:numId="22">
    <w:abstractNumId w:val="37"/>
  </w:num>
  <w:num w:numId="23">
    <w:abstractNumId w:val="44"/>
  </w:num>
  <w:num w:numId="24">
    <w:abstractNumId w:val="5"/>
  </w:num>
  <w:num w:numId="25">
    <w:abstractNumId w:val="25"/>
  </w:num>
  <w:num w:numId="26">
    <w:abstractNumId w:val="3"/>
  </w:num>
  <w:num w:numId="27">
    <w:abstractNumId w:val="9"/>
  </w:num>
  <w:num w:numId="28">
    <w:abstractNumId w:val="47"/>
  </w:num>
  <w:num w:numId="29">
    <w:abstractNumId w:val="26"/>
  </w:num>
  <w:num w:numId="30">
    <w:abstractNumId w:val="1"/>
  </w:num>
  <w:num w:numId="31">
    <w:abstractNumId w:val="14"/>
  </w:num>
  <w:num w:numId="32">
    <w:abstractNumId w:val="13"/>
  </w:num>
  <w:num w:numId="33">
    <w:abstractNumId w:val="28"/>
  </w:num>
  <w:num w:numId="34">
    <w:abstractNumId w:val="35"/>
  </w:num>
  <w:num w:numId="35">
    <w:abstractNumId w:val="42"/>
  </w:num>
  <w:num w:numId="36">
    <w:abstractNumId w:val="45"/>
  </w:num>
  <w:num w:numId="37">
    <w:abstractNumId w:val="43"/>
  </w:num>
  <w:num w:numId="38">
    <w:abstractNumId w:val="10"/>
  </w:num>
  <w:num w:numId="39">
    <w:abstractNumId w:val="40"/>
  </w:num>
  <w:num w:numId="40">
    <w:abstractNumId w:val="41"/>
  </w:num>
  <w:num w:numId="41">
    <w:abstractNumId w:val="6"/>
  </w:num>
  <w:num w:numId="42">
    <w:abstractNumId w:val="16"/>
  </w:num>
  <w:num w:numId="43">
    <w:abstractNumId w:val="29"/>
  </w:num>
  <w:num w:numId="44">
    <w:abstractNumId w:val="27"/>
  </w:num>
  <w:num w:numId="45">
    <w:abstractNumId w:val="2"/>
  </w:num>
  <w:num w:numId="46">
    <w:abstractNumId w:val="12"/>
  </w:num>
  <w:num w:numId="47">
    <w:abstractNumId w:val="18"/>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4D"/>
    <w:rsid w:val="000937FB"/>
    <w:rsid w:val="0010278D"/>
    <w:rsid w:val="001C23C4"/>
    <w:rsid w:val="001C5926"/>
    <w:rsid w:val="001E18CD"/>
    <w:rsid w:val="002251C8"/>
    <w:rsid w:val="002C305F"/>
    <w:rsid w:val="00401D88"/>
    <w:rsid w:val="005061C3"/>
    <w:rsid w:val="006860C8"/>
    <w:rsid w:val="006E4EB1"/>
    <w:rsid w:val="007B60B7"/>
    <w:rsid w:val="00864F8F"/>
    <w:rsid w:val="0094594D"/>
    <w:rsid w:val="009C6037"/>
    <w:rsid w:val="00A456D0"/>
    <w:rsid w:val="00A6312C"/>
    <w:rsid w:val="00AB0BC0"/>
    <w:rsid w:val="00AB64E2"/>
    <w:rsid w:val="00BC27E0"/>
    <w:rsid w:val="00C01387"/>
    <w:rsid w:val="00C47CD6"/>
    <w:rsid w:val="00D50856"/>
    <w:rsid w:val="00D53EE0"/>
    <w:rsid w:val="00D74DD6"/>
    <w:rsid w:val="00DA6580"/>
    <w:rsid w:val="00EB4F6B"/>
    <w:rsid w:val="00F4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594D"/>
    <w:pPr>
      <w:ind w:left="720"/>
      <w:contextualSpacing/>
    </w:pPr>
  </w:style>
  <w:style w:type="paragraph" w:styleId="BalloonText">
    <w:name w:val="Balloon Text"/>
    <w:basedOn w:val="Normal"/>
    <w:link w:val="BalloonTextChar"/>
    <w:uiPriority w:val="99"/>
    <w:semiHidden/>
    <w:unhideWhenUsed/>
    <w:rsid w:val="0050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C3"/>
    <w:rPr>
      <w:rFonts w:ascii="Tahoma" w:hAnsi="Tahoma" w:cs="Tahoma"/>
      <w:sz w:val="16"/>
      <w:szCs w:val="16"/>
    </w:rPr>
  </w:style>
  <w:style w:type="character" w:styleId="Hyperlink">
    <w:name w:val="Hyperlink"/>
    <w:basedOn w:val="DefaultParagraphFont"/>
    <w:uiPriority w:val="99"/>
    <w:unhideWhenUsed/>
    <w:rsid w:val="001E1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594D"/>
    <w:pPr>
      <w:ind w:left="720"/>
      <w:contextualSpacing/>
    </w:pPr>
  </w:style>
  <w:style w:type="paragraph" w:styleId="BalloonText">
    <w:name w:val="Balloon Text"/>
    <w:basedOn w:val="Normal"/>
    <w:link w:val="BalloonTextChar"/>
    <w:uiPriority w:val="99"/>
    <w:semiHidden/>
    <w:unhideWhenUsed/>
    <w:rsid w:val="0050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1C3"/>
    <w:rPr>
      <w:rFonts w:ascii="Tahoma" w:hAnsi="Tahoma" w:cs="Tahoma"/>
      <w:sz w:val="16"/>
      <w:szCs w:val="16"/>
    </w:rPr>
  </w:style>
  <w:style w:type="character" w:styleId="Hyperlink">
    <w:name w:val="Hyperlink"/>
    <w:basedOn w:val="DefaultParagraphFont"/>
    <w:uiPriority w:val="99"/>
    <w:unhideWhenUsed/>
    <w:rsid w:val="001E1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dstone.gov.uk/home/other-services/events/tier-2-primary-areas/event-pl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tyadvisorygroup@maidstone.gov.uk" TargetMode="External"/><Relationship Id="rId5" Type="http://schemas.openxmlformats.org/officeDocument/2006/relationships/settings" Target="settings.xml"/><Relationship Id="rId10" Type="http://schemas.openxmlformats.org/officeDocument/2006/relationships/hyperlink" Target="https://sgsa.org.uk/greenguide/" TargetMode="External"/><Relationship Id="rId4" Type="http://schemas.microsoft.com/office/2007/relationships/stylesWithEffects" Target="stylesWithEffects.xml"/><Relationship Id="rId9" Type="http://schemas.openxmlformats.org/officeDocument/2006/relationships/hyperlink" Target="https://www.thepurplegu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D285-3763-4474-8142-B2637C3A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Weston</dc:creator>
  <cp:lastModifiedBy>Emma Weston</cp:lastModifiedBy>
  <cp:revision>17</cp:revision>
  <dcterms:created xsi:type="dcterms:W3CDTF">2020-01-15T09:37:00Z</dcterms:created>
  <dcterms:modified xsi:type="dcterms:W3CDTF">2020-03-18T16:05:00Z</dcterms:modified>
</cp:coreProperties>
</file>